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A37AEF" w:rsidRDefault="003129E8" w:rsidP="00DD6B5E">
      <w:pPr>
        <w:jc w:val="right"/>
        <w:rPr>
          <w:rFonts w:ascii="Arial" w:hAnsi="Arial" w:cs="Arial"/>
          <w:b/>
          <w:sz w:val="48"/>
          <w:szCs w:val="48"/>
        </w:rPr>
      </w:pPr>
      <w:bookmarkStart w:id="0" w:name="_Toc153189646"/>
      <w:r w:rsidRPr="00A37AEF">
        <w:rPr>
          <w:rFonts w:ascii="Arial" w:hAnsi="Arial" w:cs="Arial"/>
          <w:b/>
          <w:sz w:val="48"/>
          <w:szCs w:val="48"/>
        </w:rPr>
        <w:t xml:space="preserve">Work Paper </w:t>
      </w:r>
      <w:bookmarkEnd w:id="0"/>
      <w:r w:rsidR="00F703EF" w:rsidRPr="00A37AEF">
        <w:rPr>
          <w:rFonts w:ascii="Arial" w:hAnsi="Arial" w:cs="Arial"/>
          <w:b/>
          <w:sz w:val="48"/>
          <w:szCs w:val="48"/>
        </w:rPr>
        <w:t>PGECOLTG110</w:t>
      </w:r>
    </w:p>
    <w:p w:rsidR="00A167EC" w:rsidRPr="00A37AEF" w:rsidRDefault="00F10A99" w:rsidP="00A167EC">
      <w:pPr>
        <w:jc w:val="right"/>
        <w:rPr>
          <w:rFonts w:ascii="Arial" w:hAnsi="Arial" w:cs="Arial"/>
          <w:b/>
          <w:sz w:val="48"/>
          <w:szCs w:val="48"/>
        </w:rPr>
      </w:pPr>
      <w:r w:rsidRPr="00A37AEF">
        <w:rPr>
          <w:rFonts w:ascii="Arial" w:hAnsi="Arial" w:cs="Arial"/>
          <w:b/>
          <w:sz w:val="48"/>
          <w:szCs w:val="48"/>
        </w:rPr>
        <w:t xml:space="preserve"> </w:t>
      </w:r>
      <w:r w:rsidR="00293FBA" w:rsidRPr="00A37AEF">
        <w:rPr>
          <w:rFonts w:ascii="Arial" w:hAnsi="Arial" w:cs="Arial"/>
          <w:b/>
          <w:sz w:val="48"/>
          <w:szCs w:val="48"/>
        </w:rPr>
        <w:t>Energy Star Interior CF Fixture</w:t>
      </w:r>
    </w:p>
    <w:p w:rsidR="003129E8" w:rsidRPr="00A37AEF" w:rsidRDefault="003129E8" w:rsidP="002E0043">
      <w:pPr>
        <w:jc w:val="right"/>
        <w:rPr>
          <w:rFonts w:ascii="Arial" w:hAnsi="Arial" w:cs="Arial"/>
          <w:b/>
          <w:sz w:val="48"/>
          <w:szCs w:val="48"/>
        </w:rPr>
      </w:pPr>
      <w:bookmarkStart w:id="1" w:name="_Toc153189647"/>
      <w:r w:rsidRPr="00A37AEF">
        <w:rPr>
          <w:rFonts w:ascii="Arial" w:hAnsi="Arial" w:cs="Arial"/>
          <w:b/>
          <w:sz w:val="48"/>
          <w:szCs w:val="48"/>
        </w:rPr>
        <w:t xml:space="preserve">Revision </w:t>
      </w:r>
      <w:bookmarkEnd w:id="1"/>
      <w:r w:rsidR="009934C6">
        <w:rPr>
          <w:rFonts w:ascii="Arial" w:hAnsi="Arial" w:cs="Arial"/>
          <w:b/>
          <w:sz w:val="48"/>
          <w:szCs w:val="48"/>
        </w:rPr>
        <w:t>6</w:t>
      </w:r>
    </w:p>
    <w:p w:rsidR="003129E8" w:rsidRPr="00A37AEF" w:rsidRDefault="003129E8" w:rsidP="003129E8"/>
    <w:p w:rsidR="00D7047A" w:rsidRPr="00A37AEF" w:rsidRDefault="00DD6B5E" w:rsidP="00D7047A">
      <w:pPr>
        <w:pBdr>
          <w:bottom w:val="single" w:sz="4" w:space="1" w:color="auto"/>
        </w:pBdr>
        <w:rPr>
          <w:rFonts w:ascii="Arial" w:hAnsi="Arial" w:cs="Arial"/>
          <w:b/>
          <w:sz w:val="36"/>
          <w:szCs w:val="36"/>
        </w:rPr>
      </w:pPr>
      <w:r w:rsidRPr="00A37AEF">
        <w:rPr>
          <w:rFonts w:ascii="Arial" w:hAnsi="Arial" w:cs="Arial"/>
          <w:b/>
          <w:sz w:val="36"/>
          <w:szCs w:val="36"/>
        </w:rPr>
        <w:t>Pacific Gas &amp; Electric</w:t>
      </w:r>
      <w:r w:rsidR="00DF21B8" w:rsidRPr="00A37AEF">
        <w:rPr>
          <w:rFonts w:ascii="Arial" w:hAnsi="Arial" w:cs="Arial"/>
          <w:b/>
          <w:sz w:val="36"/>
          <w:szCs w:val="36"/>
        </w:rPr>
        <w:t xml:space="preserve"> Company</w:t>
      </w:r>
    </w:p>
    <w:p w:rsidR="00D7047A" w:rsidRPr="00A37AEF" w:rsidRDefault="00DD6B5E" w:rsidP="00D7047A">
      <w:pPr>
        <w:rPr>
          <w:rFonts w:ascii="Arial" w:hAnsi="Arial" w:cs="Arial"/>
          <w:b/>
          <w:sz w:val="32"/>
          <w:szCs w:val="32"/>
        </w:rPr>
      </w:pPr>
      <w:r w:rsidRPr="00A37AEF">
        <w:rPr>
          <w:rFonts w:ascii="Arial" w:hAnsi="Arial" w:cs="Arial"/>
          <w:b/>
          <w:sz w:val="32"/>
          <w:szCs w:val="32"/>
        </w:rPr>
        <w:t>Customer Energy Efficiency Department</w:t>
      </w:r>
    </w:p>
    <w:p w:rsidR="00324D0F" w:rsidRPr="00A37AEF" w:rsidRDefault="00324D0F" w:rsidP="00324D0F"/>
    <w:p w:rsidR="00642900" w:rsidRPr="00A37AEF" w:rsidRDefault="00642900" w:rsidP="00324D0F"/>
    <w:p w:rsidR="00642900" w:rsidRDefault="00642900" w:rsidP="00324D0F"/>
    <w:p w:rsidR="003A5012" w:rsidRDefault="003A5012" w:rsidP="00324D0F"/>
    <w:p w:rsidR="003A5012" w:rsidRDefault="003A5012" w:rsidP="00324D0F"/>
    <w:p w:rsidR="003A5012" w:rsidRDefault="003A5012" w:rsidP="00324D0F"/>
    <w:p w:rsidR="003A5012" w:rsidRDefault="003A5012" w:rsidP="00324D0F"/>
    <w:p w:rsidR="003A5012" w:rsidRDefault="003A5012" w:rsidP="00324D0F"/>
    <w:p w:rsidR="003A5012" w:rsidRPr="00A37AEF" w:rsidRDefault="003A5012" w:rsidP="00324D0F"/>
    <w:p w:rsidR="00324D0F" w:rsidRPr="00A37AEF" w:rsidRDefault="00293FBA" w:rsidP="00A167EC">
      <w:pPr>
        <w:ind w:right="-720"/>
        <w:rPr>
          <w:rFonts w:ascii="Arial" w:hAnsi="Arial" w:cs="Arial"/>
          <w:b/>
        </w:rPr>
      </w:pPr>
      <w:r w:rsidRPr="00A37AEF">
        <w:rPr>
          <w:rFonts w:ascii="Arial" w:hAnsi="Arial" w:cs="Arial"/>
          <w:b/>
          <w:sz w:val="72"/>
          <w:szCs w:val="72"/>
        </w:rPr>
        <w:t>Energy Star Interior CF Fixture</w:t>
      </w:r>
      <w:r w:rsidR="00735CB1" w:rsidRPr="00A37AEF">
        <w:rPr>
          <w:rFonts w:ascii="Arial" w:hAnsi="Arial" w:cs="Arial"/>
          <w:b/>
          <w:sz w:val="72"/>
          <w:szCs w:val="72"/>
        </w:rPr>
        <w:t xml:space="preserve"> </w:t>
      </w:r>
    </w:p>
    <w:p w:rsidR="00B421F2" w:rsidRPr="00A37AEF" w:rsidRDefault="00A167EC" w:rsidP="002D4621">
      <w:pPr>
        <w:ind w:right="-720"/>
        <w:rPr>
          <w:rFonts w:ascii="Arial" w:hAnsi="Arial" w:cs="Arial"/>
          <w:b/>
        </w:rPr>
      </w:pPr>
      <w:r w:rsidRPr="00A37AEF">
        <w:rPr>
          <w:rFonts w:ascii="Arial" w:hAnsi="Arial" w:cs="Arial"/>
          <w:b/>
        </w:rPr>
        <w:t xml:space="preserve">Measure Codes </w:t>
      </w:r>
      <w:r w:rsidR="00F30E7C" w:rsidRPr="00A37AEF">
        <w:rPr>
          <w:rFonts w:ascii="Arial" w:hAnsi="Arial" w:cs="Arial"/>
          <w:b/>
        </w:rPr>
        <w:t>L809, L</w:t>
      </w:r>
      <w:r w:rsidR="00293FBA" w:rsidRPr="00A37AEF">
        <w:rPr>
          <w:rFonts w:ascii="Arial" w:hAnsi="Arial" w:cs="Arial"/>
          <w:b/>
        </w:rPr>
        <w:t>856</w:t>
      </w:r>
    </w:p>
    <w:p w:rsidR="00CB3583" w:rsidRPr="00A37AEF" w:rsidRDefault="00CB3583" w:rsidP="002E0043">
      <w:pPr>
        <w:rPr>
          <w:rFonts w:ascii="Arial" w:hAnsi="Arial" w:cs="Arial"/>
          <w:b/>
          <w:highlight w:val="cyan"/>
        </w:rPr>
      </w:pPr>
    </w:p>
    <w:p w:rsidR="00E84DBD" w:rsidRPr="00B421F2" w:rsidRDefault="00E84DBD" w:rsidP="00844B27">
      <w:pPr>
        <w:rPr>
          <w:rFonts w:ascii="Arial" w:hAnsi="Arial" w:cs="Arial"/>
          <w:b/>
        </w:rPr>
        <w:sectPr w:rsidR="00E84DBD" w:rsidRPr="00B421F2" w:rsidSect="00E03431">
          <w:headerReference w:type="even" r:id="rId12"/>
          <w:headerReference w:type="default" r:id="rId13"/>
          <w:footerReference w:type="even" r:id="rId14"/>
          <w:footerReference w:type="default" r:id="rId15"/>
          <w:endnotePr>
            <w:numFmt w:val="decimal"/>
          </w:endnotePr>
          <w:pgSz w:w="12240" w:h="15840" w:code="1"/>
          <w:pgMar w:top="1440" w:right="1800" w:bottom="1440" w:left="1800" w:header="720" w:footer="720" w:gutter="0"/>
          <w:pgNumType w:fmt="lowerRoman"/>
          <w:cols w:space="720"/>
          <w:titlePg/>
          <w:docGrid w:linePitch="360"/>
        </w:sectPr>
      </w:pPr>
    </w:p>
    <w:p w:rsidR="0019313E" w:rsidRDefault="0019313E" w:rsidP="0019313E">
      <w:pPr>
        <w:pStyle w:val="Heading1"/>
      </w:pPr>
      <w:bookmarkStart w:id="2" w:name="_Toc174189524"/>
      <w:bookmarkStart w:id="3" w:name="_Toc436822584"/>
      <w:r>
        <w:lastRenderedPageBreak/>
        <w:t>At-a-Glance Summary</w:t>
      </w:r>
      <w:bookmarkEnd w:id="3"/>
    </w:p>
    <w:tbl>
      <w:tblPr>
        <w:tblW w:w="9841" w:type="dxa"/>
        <w:tblBorders>
          <w:insideH w:val="single" w:sz="18" w:space="0" w:color="FFFFFF"/>
          <w:insideV w:val="single" w:sz="18" w:space="0" w:color="FFFFFF"/>
        </w:tblBorders>
        <w:tblLook w:val="01E0" w:firstRow="1" w:lastRow="1" w:firstColumn="1" w:lastColumn="1" w:noHBand="0" w:noVBand="0"/>
      </w:tblPr>
      <w:tblGrid>
        <w:gridCol w:w="3521"/>
        <w:gridCol w:w="3120"/>
        <w:gridCol w:w="153"/>
        <w:gridCol w:w="3047"/>
      </w:tblGrid>
      <w:tr w:rsidR="0019313E" w:rsidRPr="00627E2A" w:rsidTr="00627E2A">
        <w:trPr>
          <w:trHeight w:val="469"/>
        </w:trPr>
        <w:tc>
          <w:tcPr>
            <w:tcW w:w="3521" w:type="dxa"/>
            <w:shd w:val="pct20" w:color="000000" w:fill="FFFFFF"/>
          </w:tcPr>
          <w:p w:rsidR="0019313E" w:rsidRPr="00A87324" w:rsidRDefault="0019313E" w:rsidP="0017342E">
            <w:pPr>
              <w:rPr>
                <w:b/>
                <w:bCs/>
              </w:rPr>
            </w:pPr>
            <w:r w:rsidRPr="00A87324">
              <w:rPr>
                <w:b/>
                <w:bCs/>
              </w:rPr>
              <w:t>Applicable Measure Codes:</w:t>
            </w:r>
          </w:p>
        </w:tc>
        <w:tc>
          <w:tcPr>
            <w:tcW w:w="3273" w:type="dxa"/>
            <w:gridSpan w:val="2"/>
            <w:shd w:val="pct20" w:color="000000" w:fill="FFFFFF"/>
          </w:tcPr>
          <w:p w:rsidR="0019313E" w:rsidRPr="00A87324" w:rsidRDefault="0019313E" w:rsidP="0017342E">
            <w:pPr>
              <w:rPr>
                <w:b/>
                <w:bCs/>
                <w:sz w:val="20"/>
                <w:szCs w:val="20"/>
              </w:rPr>
            </w:pPr>
            <w:r w:rsidRPr="00A87324">
              <w:rPr>
                <w:b/>
                <w:bCs/>
                <w:sz w:val="20"/>
                <w:szCs w:val="20"/>
              </w:rPr>
              <w:t xml:space="preserve">L809 (inside dwelling), </w:t>
            </w:r>
          </w:p>
        </w:tc>
        <w:tc>
          <w:tcPr>
            <w:tcW w:w="3047" w:type="dxa"/>
            <w:shd w:val="pct20" w:color="000000" w:fill="FFFFFF"/>
          </w:tcPr>
          <w:p w:rsidR="0019313E" w:rsidRPr="00A87324" w:rsidRDefault="0019313E" w:rsidP="0017342E">
            <w:pPr>
              <w:rPr>
                <w:b/>
                <w:bCs/>
                <w:sz w:val="20"/>
                <w:szCs w:val="20"/>
              </w:rPr>
            </w:pPr>
            <w:r w:rsidRPr="00A87324">
              <w:rPr>
                <w:b/>
                <w:bCs/>
                <w:sz w:val="20"/>
                <w:szCs w:val="20"/>
              </w:rPr>
              <w:t>L856 (common area)</w:t>
            </w:r>
          </w:p>
        </w:tc>
      </w:tr>
      <w:tr w:rsidR="0019313E" w:rsidRPr="00627E2A" w:rsidTr="009E5F62">
        <w:trPr>
          <w:trHeight w:val="469"/>
        </w:trPr>
        <w:tc>
          <w:tcPr>
            <w:tcW w:w="3521" w:type="dxa"/>
            <w:shd w:val="pct5" w:color="000000" w:fill="FFFFFF"/>
          </w:tcPr>
          <w:p w:rsidR="0019313E" w:rsidRPr="00A87324" w:rsidRDefault="0019313E" w:rsidP="0017342E">
            <w:pPr>
              <w:rPr>
                <w:b/>
              </w:rPr>
            </w:pPr>
            <w:r w:rsidRPr="00A87324">
              <w:rPr>
                <w:b/>
              </w:rPr>
              <w:t xml:space="preserve">Measure Description: </w:t>
            </w:r>
          </w:p>
        </w:tc>
        <w:tc>
          <w:tcPr>
            <w:tcW w:w="6320" w:type="dxa"/>
            <w:gridSpan w:val="3"/>
            <w:shd w:val="pct5" w:color="000000" w:fill="FFFFFF"/>
          </w:tcPr>
          <w:p w:rsidR="0019313E" w:rsidRPr="00A87324" w:rsidRDefault="0019313E" w:rsidP="0017342E">
            <w:pPr>
              <w:rPr>
                <w:sz w:val="20"/>
                <w:szCs w:val="20"/>
              </w:rPr>
            </w:pPr>
            <w:r w:rsidRPr="00A87324">
              <w:rPr>
                <w:sz w:val="20"/>
                <w:szCs w:val="20"/>
              </w:rPr>
              <w:t xml:space="preserve">Must replace an existing incandescent fixture that is rated &gt;= 100 Watts.  ENERGY STAR CFL must be included in fixture, and is not eligible for additional rebate.  Closets and storage spaces do not qualify for rebate.  </w:t>
            </w:r>
          </w:p>
          <w:p w:rsidR="0019313E" w:rsidRPr="00A87324" w:rsidRDefault="0019313E" w:rsidP="0017342E">
            <w:pPr>
              <w:rPr>
                <w:sz w:val="20"/>
                <w:szCs w:val="20"/>
              </w:rPr>
            </w:pPr>
          </w:p>
        </w:tc>
      </w:tr>
      <w:tr w:rsidR="0019313E" w:rsidRPr="00627E2A" w:rsidTr="009E5F62">
        <w:trPr>
          <w:trHeight w:val="469"/>
        </w:trPr>
        <w:tc>
          <w:tcPr>
            <w:tcW w:w="3521" w:type="dxa"/>
            <w:shd w:val="pct20" w:color="000000" w:fill="FFFFFF"/>
          </w:tcPr>
          <w:p w:rsidR="0019313E" w:rsidRPr="00A87324" w:rsidRDefault="0019313E" w:rsidP="0017342E">
            <w:pPr>
              <w:rPr>
                <w:b/>
              </w:rPr>
            </w:pPr>
            <w:r w:rsidRPr="00A87324">
              <w:rPr>
                <w:b/>
              </w:rPr>
              <w:t xml:space="preserve">Energy Impact Common Units: </w:t>
            </w:r>
          </w:p>
        </w:tc>
        <w:tc>
          <w:tcPr>
            <w:tcW w:w="6320" w:type="dxa"/>
            <w:gridSpan w:val="3"/>
            <w:shd w:val="pct20" w:color="000000" w:fill="FFFFFF"/>
          </w:tcPr>
          <w:p w:rsidR="0019313E" w:rsidRPr="00A87324" w:rsidRDefault="0019313E" w:rsidP="0017342E">
            <w:pPr>
              <w:rPr>
                <w:sz w:val="20"/>
                <w:szCs w:val="20"/>
              </w:rPr>
            </w:pPr>
            <w:r w:rsidRPr="00A87324">
              <w:rPr>
                <w:sz w:val="20"/>
                <w:szCs w:val="20"/>
              </w:rPr>
              <w:t xml:space="preserve">Per fixture </w:t>
            </w:r>
          </w:p>
        </w:tc>
      </w:tr>
      <w:tr w:rsidR="0019313E" w:rsidRPr="00627E2A" w:rsidTr="009E5F62">
        <w:trPr>
          <w:trHeight w:val="469"/>
        </w:trPr>
        <w:tc>
          <w:tcPr>
            <w:tcW w:w="3521" w:type="dxa"/>
            <w:shd w:val="pct5" w:color="000000" w:fill="FFFFFF"/>
          </w:tcPr>
          <w:p w:rsidR="0019313E" w:rsidRPr="00A87324" w:rsidRDefault="0019313E" w:rsidP="0017342E">
            <w:pPr>
              <w:rPr>
                <w:b/>
              </w:rPr>
            </w:pPr>
            <w:r w:rsidRPr="00A87324">
              <w:rPr>
                <w:b/>
              </w:rPr>
              <w:t>Base Case Description:</w:t>
            </w:r>
          </w:p>
        </w:tc>
        <w:tc>
          <w:tcPr>
            <w:tcW w:w="6320" w:type="dxa"/>
            <w:gridSpan w:val="3"/>
            <w:shd w:val="pct5" w:color="000000" w:fill="FFFFFF"/>
          </w:tcPr>
          <w:p w:rsidR="00A30494" w:rsidRPr="00A87324" w:rsidRDefault="0019313E" w:rsidP="0017342E">
            <w:pPr>
              <w:rPr>
                <w:sz w:val="20"/>
                <w:szCs w:val="20"/>
              </w:rPr>
            </w:pPr>
            <w:r w:rsidRPr="00A87324">
              <w:rPr>
                <w:sz w:val="20"/>
                <w:szCs w:val="20"/>
              </w:rPr>
              <w:t>Source: 20</w:t>
            </w:r>
            <w:r w:rsidR="002E1B6E">
              <w:rPr>
                <w:sz w:val="20"/>
                <w:szCs w:val="20"/>
              </w:rPr>
              <w:t>14</w:t>
            </w:r>
            <w:r w:rsidRPr="00A87324">
              <w:rPr>
                <w:sz w:val="20"/>
                <w:szCs w:val="20"/>
              </w:rPr>
              <w:t xml:space="preserve"> DEER </w:t>
            </w:r>
          </w:p>
          <w:p w:rsidR="0019313E" w:rsidRPr="00A87324" w:rsidRDefault="00A30494" w:rsidP="002E1B6E">
            <w:pPr>
              <w:rPr>
                <w:sz w:val="20"/>
                <w:szCs w:val="20"/>
              </w:rPr>
            </w:pPr>
            <w:r w:rsidRPr="00A87324">
              <w:rPr>
                <w:sz w:val="20"/>
                <w:szCs w:val="20"/>
              </w:rPr>
              <w:t>B</w:t>
            </w:r>
            <w:r w:rsidR="0019313E" w:rsidRPr="00A87324">
              <w:rPr>
                <w:sz w:val="20"/>
                <w:szCs w:val="20"/>
              </w:rPr>
              <w:t xml:space="preserve">ase case </w:t>
            </w:r>
            <w:r w:rsidR="002E1B6E">
              <w:rPr>
                <w:sz w:val="20"/>
                <w:szCs w:val="20"/>
              </w:rPr>
              <w:t>WRR 3.53</w:t>
            </w:r>
          </w:p>
        </w:tc>
      </w:tr>
      <w:tr w:rsidR="0019313E" w:rsidRPr="00A87324" w:rsidTr="009E5F62">
        <w:trPr>
          <w:trHeight w:val="469"/>
        </w:trPr>
        <w:tc>
          <w:tcPr>
            <w:tcW w:w="3521" w:type="dxa"/>
            <w:shd w:val="pct20" w:color="000000" w:fill="FFFFFF"/>
          </w:tcPr>
          <w:p w:rsidR="0019313E" w:rsidRPr="00A87324" w:rsidRDefault="0019313E" w:rsidP="0017342E">
            <w:pPr>
              <w:rPr>
                <w:b/>
              </w:rPr>
            </w:pPr>
            <w:r w:rsidRPr="00A87324">
              <w:rPr>
                <w:b/>
              </w:rPr>
              <w:t xml:space="preserve">Base Case Energy Consumption: </w:t>
            </w:r>
          </w:p>
        </w:tc>
        <w:tc>
          <w:tcPr>
            <w:tcW w:w="3120" w:type="dxa"/>
            <w:shd w:val="pct20" w:color="000000" w:fill="FFFFFF"/>
          </w:tcPr>
          <w:p w:rsidR="0019313E" w:rsidRPr="00994B45" w:rsidRDefault="000B462F" w:rsidP="00DA2D9E">
            <w:pPr>
              <w:rPr>
                <w:sz w:val="20"/>
                <w:szCs w:val="20"/>
                <w:highlight w:val="yellow"/>
              </w:rPr>
            </w:pPr>
            <w:r w:rsidRPr="000B462F">
              <w:rPr>
                <w:sz w:val="20"/>
                <w:szCs w:val="20"/>
              </w:rPr>
              <w:t>54.8 kWh/</w:t>
            </w:r>
            <w:proofErr w:type="spellStart"/>
            <w:r w:rsidRPr="000B462F">
              <w:rPr>
                <w:sz w:val="20"/>
                <w:szCs w:val="20"/>
              </w:rPr>
              <w:t>yr</w:t>
            </w:r>
            <w:proofErr w:type="spellEnd"/>
          </w:p>
        </w:tc>
        <w:tc>
          <w:tcPr>
            <w:tcW w:w="3200" w:type="dxa"/>
            <w:gridSpan w:val="2"/>
            <w:shd w:val="pct20" w:color="000000" w:fill="FFFFFF"/>
          </w:tcPr>
          <w:p w:rsidR="0019313E" w:rsidRPr="00994B45" w:rsidRDefault="00766E3B" w:rsidP="00DA2D9E">
            <w:pPr>
              <w:rPr>
                <w:sz w:val="20"/>
                <w:szCs w:val="20"/>
                <w:highlight w:val="yellow"/>
              </w:rPr>
            </w:pPr>
            <w:r w:rsidRPr="00766E3B">
              <w:rPr>
                <w:sz w:val="20"/>
                <w:szCs w:val="20"/>
              </w:rPr>
              <w:t>622</w:t>
            </w:r>
            <w:r w:rsidRPr="00766E3B">
              <w:rPr>
                <w:sz w:val="20"/>
              </w:rPr>
              <w:t xml:space="preserve"> </w:t>
            </w:r>
            <w:r>
              <w:rPr>
                <w:sz w:val="20"/>
              </w:rPr>
              <w:t xml:space="preserve"> </w:t>
            </w:r>
            <w:r w:rsidRPr="00766E3B">
              <w:rPr>
                <w:sz w:val="20"/>
              </w:rPr>
              <w:t>kWh/</w:t>
            </w:r>
            <w:proofErr w:type="spellStart"/>
            <w:r w:rsidRPr="00766E3B">
              <w:rPr>
                <w:sz w:val="20"/>
              </w:rPr>
              <w:t>yr</w:t>
            </w:r>
            <w:proofErr w:type="spellEnd"/>
          </w:p>
        </w:tc>
      </w:tr>
      <w:tr w:rsidR="0019313E" w:rsidRPr="00A87324" w:rsidTr="009E5F62">
        <w:trPr>
          <w:trHeight w:val="469"/>
        </w:trPr>
        <w:tc>
          <w:tcPr>
            <w:tcW w:w="3521" w:type="dxa"/>
            <w:shd w:val="pct5" w:color="000000" w:fill="FFFFFF"/>
          </w:tcPr>
          <w:p w:rsidR="0019313E" w:rsidRPr="00A87324" w:rsidRDefault="0019313E" w:rsidP="0017342E">
            <w:pPr>
              <w:rPr>
                <w:b/>
              </w:rPr>
            </w:pPr>
            <w:r w:rsidRPr="00A87324">
              <w:rPr>
                <w:b/>
              </w:rPr>
              <w:t>Measure Energy Consumption:</w:t>
            </w:r>
          </w:p>
        </w:tc>
        <w:tc>
          <w:tcPr>
            <w:tcW w:w="3120" w:type="dxa"/>
            <w:shd w:val="pct5" w:color="000000" w:fill="FFFFFF"/>
          </w:tcPr>
          <w:p w:rsidR="0019313E" w:rsidRPr="00994B45" w:rsidRDefault="000B462F" w:rsidP="002E1B6E">
            <w:pPr>
              <w:rPr>
                <w:sz w:val="20"/>
                <w:szCs w:val="20"/>
                <w:highlight w:val="yellow"/>
              </w:rPr>
            </w:pPr>
            <w:r w:rsidRPr="000B462F">
              <w:rPr>
                <w:sz w:val="20"/>
                <w:szCs w:val="20"/>
              </w:rPr>
              <w:t>15.5 kWh/</w:t>
            </w:r>
            <w:proofErr w:type="spellStart"/>
            <w:r w:rsidRPr="000B462F">
              <w:rPr>
                <w:sz w:val="20"/>
                <w:szCs w:val="20"/>
              </w:rPr>
              <w:t>yr</w:t>
            </w:r>
            <w:proofErr w:type="spellEnd"/>
          </w:p>
        </w:tc>
        <w:tc>
          <w:tcPr>
            <w:tcW w:w="3200" w:type="dxa"/>
            <w:gridSpan w:val="2"/>
            <w:shd w:val="pct5" w:color="000000" w:fill="FFFFFF"/>
          </w:tcPr>
          <w:p w:rsidR="0019313E" w:rsidRPr="000C0EDE" w:rsidRDefault="00766E3B" w:rsidP="002E1B6E">
            <w:pPr>
              <w:rPr>
                <w:sz w:val="20"/>
                <w:szCs w:val="20"/>
              </w:rPr>
            </w:pPr>
            <w:r>
              <w:rPr>
                <w:sz w:val="20"/>
                <w:szCs w:val="20"/>
              </w:rPr>
              <w:t>176</w:t>
            </w:r>
            <w:r w:rsidRPr="00766E3B">
              <w:rPr>
                <w:sz w:val="20"/>
              </w:rPr>
              <w:t xml:space="preserve"> </w:t>
            </w:r>
            <w:r>
              <w:rPr>
                <w:sz w:val="20"/>
              </w:rPr>
              <w:t xml:space="preserve"> </w:t>
            </w:r>
            <w:r w:rsidRPr="00766E3B">
              <w:rPr>
                <w:sz w:val="20"/>
              </w:rPr>
              <w:t>kWh/</w:t>
            </w:r>
            <w:proofErr w:type="spellStart"/>
            <w:r w:rsidRPr="00766E3B">
              <w:rPr>
                <w:sz w:val="20"/>
              </w:rPr>
              <w:t>yr</w:t>
            </w:r>
            <w:proofErr w:type="spellEnd"/>
          </w:p>
        </w:tc>
      </w:tr>
      <w:tr w:rsidR="0019313E" w:rsidRPr="00A87324" w:rsidTr="009E5F62">
        <w:trPr>
          <w:trHeight w:val="469"/>
        </w:trPr>
        <w:tc>
          <w:tcPr>
            <w:tcW w:w="3521" w:type="dxa"/>
            <w:shd w:val="pct20" w:color="000000" w:fill="FFFFFF"/>
          </w:tcPr>
          <w:p w:rsidR="0019313E" w:rsidRPr="00A87324" w:rsidRDefault="0019313E" w:rsidP="0017342E">
            <w:pPr>
              <w:rPr>
                <w:b/>
              </w:rPr>
            </w:pPr>
            <w:r w:rsidRPr="00A87324">
              <w:rPr>
                <w:b/>
              </w:rPr>
              <w:t>Energy Savings (Base Case – Measure)</w:t>
            </w:r>
          </w:p>
        </w:tc>
        <w:tc>
          <w:tcPr>
            <w:tcW w:w="3120" w:type="dxa"/>
            <w:shd w:val="pct20" w:color="000000" w:fill="FFFFFF"/>
          </w:tcPr>
          <w:p w:rsidR="0019313E" w:rsidRPr="002E1B6E" w:rsidRDefault="000B462F" w:rsidP="000C0EDE">
            <w:pPr>
              <w:rPr>
                <w:sz w:val="20"/>
                <w:szCs w:val="20"/>
              </w:rPr>
            </w:pPr>
            <w:r>
              <w:rPr>
                <w:sz w:val="20"/>
                <w:szCs w:val="20"/>
              </w:rPr>
              <w:t>39.3 kWh/</w:t>
            </w:r>
            <w:proofErr w:type="spellStart"/>
            <w:r>
              <w:rPr>
                <w:sz w:val="20"/>
                <w:szCs w:val="20"/>
              </w:rPr>
              <w:t>yr</w:t>
            </w:r>
            <w:proofErr w:type="spellEnd"/>
          </w:p>
        </w:tc>
        <w:tc>
          <w:tcPr>
            <w:tcW w:w="3200" w:type="dxa"/>
            <w:gridSpan w:val="2"/>
            <w:shd w:val="pct20" w:color="000000" w:fill="FFFFFF"/>
          </w:tcPr>
          <w:p w:rsidR="0019313E" w:rsidRPr="00994B45" w:rsidRDefault="00766E3B" w:rsidP="002E1B6E">
            <w:pPr>
              <w:rPr>
                <w:highlight w:val="yellow"/>
              </w:rPr>
            </w:pPr>
            <w:r w:rsidRPr="00766E3B">
              <w:rPr>
                <w:sz w:val="20"/>
              </w:rPr>
              <w:t>446 kWh/</w:t>
            </w:r>
            <w:proofErr w:type="spellStart"/>
            <w:r w:rsidRPr="00766E3B">
              <w:rPr>
                <w:sz w:val="20"/>
              </w:rPr>
              <w:t>yr</w:t>
            </w:r>
            <w:proofErr w:type="spellEnd"/>
          </w:p>
        </w:tc>
      </w:tr>
      <w:tr w:rsidR="0019313E" w:rsidRPr="00A87324" w:rsidTr="009E5F62">
        <w:trPr>
          <w:trHeight w:val="469"/>
        </w:trPr>
        <w:tc>
          <w:tcPr>
            <w:tcW w:w="3521" w:type="dxa"/>
            <w:shd w:val="pct5" w:color="000000" w:fill="FFFFFF"/>
          </w:tcPr>
          <w:p w:rsidR="0019313E" w:rsidRPr="00A87324" w:rsidRDefault="0019313E" w:rsidP="0017342E">
            <w:pPr>
              <w:rPr>
                <w:b/>
              </w:rPr>
            </w:pPr>
            <w:r w:rsidRPr="00A87324">
              <w:rPr>
                <w:b/>
              </w:rPr>
              <w:t xml:space="preserve">Costs Common Units: </w:t>
            </w:r>
          </w:p>
        </w:tc>
        <w:tc>
          <w:tcPr>
            <w:tcW w:w="6320" w:type="dxa"/>
            <w:gridSpan w:val="3"/>
            <w:shd w:val="pct5" w:color="000000" w:fill="FFFFFF"/>
          </w:tcPr>
          <w:p w:rsidR="0019313E" w:rsidRPr="00A87324" w:rsidRDefault="0019313E" w:rsidP="0017342E">
            <w:pPr>
              <w:rPr>
                <w:sz w:val="20"/>
                <w:szCs w:val="20"/>
              </w:rPr>
            </w:pPr>
            <w:r w:rsidRPr="00A87324">
              <w:rPr>
                <w:sz w:val="20"/>
                <w:szCs w:val="20"/>
              </w:rPr>
              <w:t>$ per fixture</w:t>
            </w:r>
          </w:p>
        </w:tc>
      </w:tr>
      <w:tr w:rsidR="0019313E" w:rsidRPr="00A87324" w:rsidTr="009E5F62">
        <w:trPr>
          <w:trHeight w:val="469"/>
        </w:trPr>
        <w:tc>
          <w:tcPr>
            <w:tcW w:w="3521" w:type="dxa"/>
            <w:shd w:val="pct20" w:color="000000" w:fill="FFFFFF"/>
          </w:tcPr>
          <w:p w:rsidR="0019313E" w:rsidRPr="00A87324" w:rsidRDefault="0019313E" w:rsidP="0017342E">
            <w:pPr>
              <w:rPr>
                <w:b/>
              </w:rPr>
            </w:pPr>
            <w:r w:rsidRPr="00A87324">
              <w:rPr>
                <w:b/>
              </w:rPr>
              <w:t>Base Case Equipment Cost ($/unit):</w:t>
            </w:r>
          </w:p>
        </w:tc>
        <w:tc>
          <w:tcPr>
            <w:tcW w:w="6320" w:type="dxa"/>
            <w:gridSpan w:val="3"/>
            <w:shd w:val="pct20" w:color="000000" w:fill="FFFFFF"/>
          </w:tcPr>
          <w:p w:rsidR="00A87324" w:rsidRPr="00976EB2" w:rsidRDefault="00A87324" w:rsidP="0017342E">
            <w:pPr>
              <w:rPr>
                <w:sz w:val="20"/>
                <w:szCs w:val="20"/>
              </w:rPr>
            </w:pPr>
            <w:r w:rsidRPr="00976EB2">
              <w:rPr>
                <w:sz w:val="20"/>
                <w:szCs w:val="20"/>
              </w:rPr>
              <w:t xml:space="preserve">Source: </w:t>
            </w:r>
            <w:r w:rsidR="00976EB2" w:rsidRPr="00976EB2">
              <w:rPr>
                <w:sz w:val="20"/>
                <w:szCs w:val="20"/>
              </w:rPr>
              <w:t>Home Depot October 29, 2015</w:t>
            </w:r>
          </w:p>
          <w:p w:rsidR="0019313E" w:rsidRPr="00976EB2" w:rsidRDefault="00A87324" w:rsidP="005F7D49">
            <w:pPr>
              <w:rPr>
                <w:sz w:val="20"/>
                <w:szCs w:val="20"/>
              </w:rPr>
            </w:pPr>
            <w:r w:rsidRPr="00976EB2">
              <w:rPr>
                <w:sz w:val="20"/>
                <w:szCs w:val="20"/>
              </w:rPr>
              <w:t>$</w:t>
            </w:r>
            <w:r w:rsidR="005F7D49">
              <w:rPr>
                <w:sz w:val="20"/>
                <w:szCs w:val="20"/>
              </w:rPr>
              <w:t>28.92</w:t>
            </w:r>
          </w:p>
        </w:tc>
      </w:tr>
      <w:tr w:rsidR="0019313E" w:rsidRPr="00A87324" w:rsidTr="009E5F62">
        <w:trPr>
          <w:trHeight w:val="469"/>
        </w:trPr>
        <w:tc>
          <w:tcPr>
            <w:tcW w:w="3521" w:type="dxa"/>
            <w:shd w:val="pct5" w:color="000000" w:fill="FFFFFF"/>
          </w:tcPr>
          <w:p w:rsidR="0019313E" w:rsidRPr="00A87324" w:rsidRDefault="0019313E" w:rsidP="0017342E">
            <w:pPr>
              <w:rPr>
                <w:b/>
              </w:rPr>
            </w:pPr>
            <w:r w:rsidRPr="00A87324">
              <w:rPr>
                <w:b/>
              </w:rPr>
              <w:t xml:space="preserve">Measure Equipment Cost ($/unit): </w:t>
            </w:r>
          </w:p>
        </w:tc>
        <w:tc>
          <w:tcPr>
            <w:tcW w:w="6320" w:type="dxa"/>
            <w:gridSpan w:val="3"/>
            <w:shd w:val="pct5" w:color="000000" w:fill="FFFFFF"/>
          </w:tcPr>
          <w:p w:rsidR="0019313E" w:rsidRPr="00976EB2" w:rsidRDefault="0019313E" w:rsidP="0017342E">
            <w:pPr>
              <w:rPr>
                <w:sz w:val="20"/>
                <w:szCs w:val="20"/>
              </w:rPr>
            </w:pPr>
            <w:r w:rsidRPr="00976EB2">
              <w:rPr>
                <w:sz w:val="20"/>
                <w:szCs w:val="20"/>
              </w:rPr>
              <w:t xml:space="preserve">Source: </w:t>
            </w:r>
            <w:r w:rsidR="00976EB2" w:rsidRPr="00976EB2">
              <w:rPr>
                <w:sz w:val="20"/>
                <w:szCs w:val="20"/>
              </w:rPr>
              <w:t>Home Depot October 29, 2015</w:t>
            </w:r>
          </w:p>
          <w:p w:rsidR="0019313E" w:rsidRPr="00976EB2" w:rsidRDefault="0019313E" w:rsidP="005F7D49">
            <w:pPr>
              <w:rPr>
                <w:sz w:val="20"/>
                <w:szCs w:val="20"/>
              </w:rPr>
            </w:pPr>
            <w:r w:rsidRPr="00976EB2">
              <w:rPr>
                <w:sz w:val="20"/>
                <w:szCs w:val="20"/>
              </w:rPr>
              <w:t>$</w:t>
            </w:r>
            <w:r w:rsidR="005F7D49">
              <w:rPr>
                <w:sz w:val="20"/>
                <w:szCs w:val="20"/>
              </w:rPr>
              <w:t>36.75</w:t>
            </w:r>
            <w:r w:rsidRPr="00976EB2">
              <w:rPr>
                <w:sz w:val="20"/>
                <w:szCs w:val="20"/>
              </w:rPr>
              <w:t xml:space="preserve">                      </w:t>
            </w:r>
          </w:p>
        </w:tc>
      </w:tr>
      <w:tr w:rsidR="0019313E" w:rsidRPr="00A87324" w:rsidTr="009E5F62">
        <w:trPr>
          <w:trHeight w:val="469"/>
        </w:trPr>
        <w:tc>
          <w:tcPr>
            <w:tcW w:w="3521" w:type="dxa"/>
            <w:shd w:val="pct20" w:color="000000" w:fill="FFFFFF"/>
          </w:tcPr>
          <w:p w:rsidR="0019313E" w:rsidRPr="00A87324" w:rsidRDefault="0019313E" w:rsidP="0017342E">
            <w:pPr>
              <w:rPr>
                <w:b/>
              </w:rPr>
            </w:pPr>
            <w:bookmarkStart w:id="4" w:name="OLE_LINK1"/>
            <w:r w:rsidRPr="00A87324">
              <w:rPr>
                <w:b/>
              </w:rPr>
              <w:t xml:space="preserve">Measure Incremental Cost ($/unit): </w:t>
            </w:r>
            <w:bookmarkEnd w:id="4"/>
          </w:p>
        </w:tc>
        <w:tc>
          <w:tcPr>
            <w:tcW w:w="6320" w:type="dxa"/>
            <w:gridSpan w:val="3"/>
            <w:shd w:val="pct20" w:color="000000" w:fill="FFFFFF"/>
          </w:tcPr>
          <w:p w:rsidR="0019313E" w:rsidRPr="00976EB2" w:rsidRDefault="0019313E" w:rsidP="0017342E">
            <w:pPr>
              <w:rPr>
                <w:sz w:val="20"/>
                <w:szCs w:val="20"/>
              </w:rPr>
            </w:pPr>
            <w:r w:rsidRPr="00976EB2">
              <w:rPr>
                <w:sz w:val="20"/>
                <w:szCs w:val="20"/>
              </w:rPr>
              <w:t xml:space="preserve">Source: </w:t>
            </w:r>
            <w:r w:rsidR="00976EB2" w:rsidRPr="00976EB2">
              <w:rPr>
                <w:sz w:val="20"/>
                <w:szCs w:val="20"/>
              </w:rPr>
              <w:t>Home Depot October 29, 2015</w:t>
            </w:r>
          </w:p>
          <w:p w:rsidR="0019313E" w:rsidRPr="00976EB2" w:rsidRDefault="0019313E" w:rsidP="005F7D49">
            <w:pPr>
              <w:rPr>
                <w:sz w:val="20"/>
                <w:szCs w:val="20"/>
              </w:rPr>
            </w:pPr>
            <w:r w:rsidRPr="00976EB2">
              <w:rPr>
                <w:sz w:val="20"/>
                <w:szCs w:val="20"/>
              </w:rPr>
              <w:t>$</w:t>
            </w:r>
            <w:r w:rsidR="005F7D49">
              <w:rPr>
                <w:sz w:val="20"/>
                <w:szCs w:val="20"/>
              </w:rPr>
              <w:t>7.83</w:t>
            </w:r>
            <w:r w:rsidRPr="00976EB2">
              <w:rPr>
                <w:sz w:val="20"/>
                <w:szCs w:val="20"/>
              </w:rPr>
              <w:t xml:space="preserve">                    </w:t>
            </w:r>
          </w:p>
        </w:tc>
      </w:tr>
      <w:tr w:rsidR="0019313E" w:rsidRPr="00A87324" w:rsidTr="009E5F62">
        <w:trPr>
          <w:trHeight w:val="469"/>
        </w:trPr>
        <w:tc>
          <w:tcPr>
            <w:tcW w:w="3521" w:type="dxa"/>
            <w:shd w:val="pct5" w:color="000000" w:fill="FFFFFF"/>
          </w:tcPr>
          <w:p w:rsidR="0019313E" w:rsidRPr="00A87324" w:rsidRDefault="0019313E" w:rsidP="0017342E">
            <w:pPr>
              <w:rPr>
                <w:b/>
              </w:rPr>
            </w:pPr>
            <w:r w:rsidRPr="00A87324">
              <w:rPr>
                <w:b/>
              </w:rPr>
              <w:t xml:space="preserve">Effective Useful Life (years): </w:t>
            </w:r>
          </w:p>
        </w:tc>
        <w:tc>
          <w:tcPr>
            <w:tcW w:w="6320" w:type="dxa"/>
            <w:gridSpan w:val="3"/>
            <w:shd w:val="pct5" w:color="000000" w:fill="FFFFFF"/>
          </w:tcPr>
          <w:p w:rsidR="0019313E" w:rsidRPr="00A87324" w:rsidRDefault="0019313E" w:rsidP="00627E2A">
            <w:pPr>
              <w:tabs>
                <w:tab w:val="left" w:pos="1080"/>
              </w:tabs>
              <w:rPr>
                <w:sz w:val="20"/>
                <w:szCs w:val="20"/>
              </w:rPr>
            </w:pPr>
            <w:r w:rsidRPr="00A87324">
              <w:rPr>
                <w:sz w:val="20"/>
                <w:szCs w:val="20"/>
              </w:rPr>
              <w:t>Source: 20</w:t>
            </w:r>
            <w:r w:rsidR="00A87324">
              <w:rPr>
                <w:sz w:val="20"/>
                <w:szCs w:val="20"/>
              </w:rPr>
              <w:t>1</w:t>
            </w:r>
            <w:r w:rsidR="003209C1">
              <w:rPr>
                <w:sz w:val="20"/>
                <w:szCs w:val="20"/>
              </w:rPr>
              <w:t>6</w:t>
            </w:r>
            <w:r w:rsidRPr="00A87324">
              <w:rPr>
                <w:sz w:val="20"/>
                <w:szCs w:val="20"/>
              </w:rPr>
              <w:t xml:space="preserve"> DEER </w:t>
            </w:r>
          </w:p>
          <w:p w:rsidR="003209C1" w:rsidRDefault="003209C1" w:rsidP="005F7D49">
            <w:pPr>
              <w:tabs>
                <w:tab w:val="left" w:pos="1080"/>
              </w:tabs>
              <w:rPr>
                <w:sz w:val="20"/>
                <w:szCs w:val="20"/>
              </w:rPr>
            </w:pPr>
            <w:r>
              <w:rPr>
                <w:sz w:val="20"/>
                <w:szCs w:val="20"/>
              </w:rPr>
              <w:t>15</w:t>
            </w:r>
            <w:r w:rsidR="0019313E" w:rsidRPr="00A87324">
              <w:rPr>
                <w:sz w:val="20"/>
                <w:szCs w:val="20"/>
              </w:rPr>
              <w:t xml:space="preserve"> Years</w:t>
            </w:r>
            <w:r w:rsidR="005F7D49">
              <w:rPr>
                <w:sz w:val="20"/>
                <w:szCs w:val="20"/>
              </w:rPr>
              <w:t xml:space="preserve">, </w:t>
            </w:r>
            <w:proofErr w:type="spellStart"/>
            <w:r>
              <w:rPr>
                <w:sz w:val="20"/>
                <w:szCs w:val="20"/>
              </w:rPr>
              <w:t>ILtg-CFLfix-ResCmnArea</w:t>
            </w:r>
            <w:proofErr w:type="spellEnd"/>
          </w:p>
          <w:p w:rsidR="005F7D49" w:rsidRPr="00A87324" w:rsidRDefault="005F7D49" w:rsidP="005F7D49">
            <w:pPr>
              <w:tabs>
                <w:tab w:val="left" w:pos="1080"/>
              </w:tabs>
              <w:rPr>
                <w:sz w:val="20"/>
                <w:szCs w:val="20"/>
              </w:rPr>
            </w:pPr>
            <w:r>
              <w:rPr>
                <w:sz w:val="20"/>
                <w:szCs w:val="20"/>
              </w:rPr>
              <w:t xml:space="preserve">16 Years, </w:t>
            </w:r>
            <w:proofErr w:type="spellStart"/>
            <w:r w:rsidRPr="00FB6C73">
              <w:rPr>
                <w:sz w:val="20"/>
                <w:szCs w:val="20"/>
              </w:rPr>
              <w:t>ILtg</w:t>
            </w:r>
            <w:proofErr w:type="spellEnd"/>
            <w:r w:rsidRPr="00FB6C73">
              <w:rPr>
                <w:sz w:val="20"/>
                <w:szCs w:val="20"/>
              </w:rPr>
              <w:t>-</w:t>
            </w:r>
            <w:proofErr w:type="spellStart"/>
            <w:r w:rsidRPr="00FB6C73">
              <w:rPr>
                <w:sz w:val="20"/>
                <w:szCs w:val="20"/>
              </w:rPr>
              <w:t>CFLfix</w:t>
            </w:r>
            <w:proofErr w:type="spellEnd"/>
            <w:r w:rsidRPr="00FB6C73">
              <w:rPr>
                <w:sz w:val="20"/>
                <w:szCs w:val="20"/>
              </w:rPr>
              <w:t>-Res</w:t>
            </w:r>
          </w:p>
        </w:tc>
      </w:tr>
      <w:tr w:rsidR="0019313E" w:rsidRPr="00A87324" w:rsidTr="009E5F62">
        <w:trPr>
          <w:trHeight w:val="469"/>
        </w:trPr>
        <w:tc>
          <w:tcPr>
            <w:tcW w:w="3521" w:type="dxa"/>
            <w:shd w:val="pct20" w:color="000000" w:fill="FFFFFF"/>
          </w:tcPr>
          <w:p w:rsidR="0019313E" w:rsidRPr="00A87324" w:rsidRDefault="0019313E" w:rsidP="0017342E">
            <w:pPr>
              <w:rPr>
                <w:b/>
              </w:rPr>
            </w:pPr>
            <w:r w:rsidRPr="00A87324">
              <w:rPr>
                <w:b/>
              </w:rPr>
              <w:t>Program Type:</w:t>
            </w:r>
          </w:p>
        </w:tc>
        <w:tc>
          <w:tcPr>
            <w:tcW w:w="6320" w:type="dxa"/>
            <w:gridSpan w:val="3"/>
            <w:shd w:val="pct20" w:color="000000" w:fill="FFFFFF"/>
          </w:tcPr>
          <w:p w:rsidR="0019313E" w:rsidRPr="00A87324" w:rsidRDefault="00A87324" w:rsidP="0017342E">
            <w:pPr>
              <w:rPr>
                <w:sz w:val="20"/>
                <w:szCs w:val="20"/>
              </w:rPr>
            </w:pPr>
            <w:r>
              <w:rPr>
                <w:sz w:val="20"/>
                <w:szCs w:val="20"/>
              </w:rPr>
              <w:t>Replace on Burnout</w:t>
            </w:r>
          </w:p>
        </w:tc>
      </w:tr>
      <w:tr w:rsidR="0019313E" w:rsidRPr="00A87324" w:rsidTr="009E5F62">
        <w:trPr>
          <w:trHeight w:val="469"/>
        </w:trPr>
        <w:tc>
          <w:tcPr>
            <w:tcW w:w="3521" w:type="dxa"/>
            <w:shd w:val="pct5" w:color="000000" w:fill="FFFFFF"/>
          </w:tcPr>
          <w:p w:rsidR="0019313E" w:rsidRPr="00A87324" w:rsidRDefault="0019313E" w:rsidP="0017342E">
            <w:pPr>
              <w:rPr>
                <w:b/>
              </w:rPr>
            </w:pPr>
            <w:r w:rsidRPr="00A87324">
              <w:rPr>
                <w:b/>
              </w:rPr>
              <w:t xml:space="preserve">Net-to-Gross Ratios: </w:t>
            </w:r>
          </w:p>
        </w:tc>
        <w:tc>
          <w:tcPr>
            <w:tcW w:w="6320" w:type="dxa"/>
            <w:gridSpan w:val="3"/>
            <w:shd w:val="pct5" w:color="000000" w:fill="FFFFFF"/>
          </w:tcPr>
          <w:p w:rsidR="0019313E" w:rsidRPr="00A87324" w:rsidRDefault="0019313E" w:rsidP="0017342E">
            <w:pPr>
              <w:rPr>
                <w:sz w:val="20"/>
                <w:szCs w:val="20"/>
              </w:rPr>
            </w:pPr>
            <w:r w:rsidRPr="00A87324">
              <w:rPr>
                <w:sz w:val="20"/>
                <w:szCs w:val="20"/>
              </w:rPr>
              <w:t xml:space="preserve">Source:  </w:t>
            </w:r>
            <w:r w:rsidR="00891A8C" w:rsidRPr="00A87324">
              <w:rPr>
                <w:sz w:val="20"/>
                <w:szCs w:val="20"/>
              </w:rPr>
              <w:t>20</w:t>
            </w:r>
            <w:r w:rsidR="002E1B6E">
              <w:rPr>
                <w:sz w:val="20"/>
                <w:szCs w:val="20"/>
              </w:rPr>
              <w:t>14</w:t>
            </w:r>
            <w:r w:rsidR="00A87324">
              <w:rPr>
                <w:sz w:val="20"/>
                <w:szCs w:val="20"/>
              </w:rPr>
              <w:t xml:space="preserve"> DEER</w:t>
            </w:r>
          </w:p>
          <w:p w:rsidR="00FA316B" w:rsidRPr="00DF34D4" w:rsidRDefault="0019313E" w:rsidP="0017342E">
            <w:pPr>
              <w:rPr>
                <w:sz w:val="20"/>
                <w:szCs w:val="20"/>
              </w:rPr>
            </w:pPr>
            <w:r w:rsidRPr="00DF34D4">
              <w:rPr>
                <w:sz w:val="20"/>
                <w:szCs w:val="20"/>
              </w:rPr>
              <w:t>0.</w:t>
            </w:r>
            <w:r w:rsidR="00A87324" w:rsidRPr="00DF34D4">
              <w:rPr>
                <w:sz w:val="20"/>
                <w:szCs w:val="20"/>
              </w:rPr>
              <w:t>55</w:t>
            </w:r>
            <w:r w:rsidR="00FA316B" w:rsidRPr="00DF34D4">
              <w:rPr>
                <w:sz w:val="20"/>
                <w:szCs w:val="20"/>
              </w:rPr>
              <w:t xml:space="preserve">, </w:t>
            </w:r>
          </w:p>
          <w:p w:rsidR="0019313E" w:rsidRPr="00FA316B" w:rsidRDefault="00FA316B" w:rsidP="0017342E">
            <w:pPr>
              <w:rPr>
                <w:rFonts w:ascii="Calibri" w:hAnsi="Calibri" w:cs="Calibri"/>
                <w:color w:val="000000"/>
                <w:sz w:val="22"/>
                <w:szCs w:val="22"/>
              </w:rPr>
            </w:pPr>
            <w:r w:rsidRPr="00DF34D4">
              <w:rPr>
                <w:color w:val="000000"/>
                <w:sz w:val="20"/>
                <w:szCs w:val="20"/>
              </w:rPr>
              <w:t>Res-Default&gt;2</w:t>
            </w:r>
          </w:p>
        </w:tc>
      </w:tr>
      <w:tr w:rsidR="009E5F62" w:rsidRPr="00627E2A" w:rsidTr="00DF34D4">
        <w:trPr>
          <w:trHeight w:val="855"/>
        </w:trPr>
        <w:tc>
          <w:tcPr>
            <w:tcW w:w="3521" w:type="dxa"/>
            <w:shd w:val="pct20" w:color="000000" w:fill="FFFFFF"/>
          </w:tcPr>
          <w:p w:rsidR="009E5F62" w:rsidRPr="00A87324" w:rsidRDefault="009E5F62" w:rsidP="0017342E">
            <w:pPr>
              <w:rPr>
                <w:b/>
              </w:rPr>
            </w:pPr>
            <w:r w:rsidRPr="00A87324">
              <w:rPr>
                <w:b/>
              </w:rPr>
              <w:t>Important Comments:</w:t>
            </w:r>
          </w:p>
        </w:tc>
        <w:tc>
          <w:tcPr>
            <w:tcW w:w="6320" w:type="dxa"/>
            <w:gridSpan w:val="3"/>
            <w:shd w:val="pct20" w:color="000000" w:fill="FFFFFF"/>
          </w:tcPr>
          <w:p w:rsidR="005A3352" w:rsidRPr="00A87324" w:rsidRDefault="005A3352" w:rsidP="00DF34D4">
            <w:pPr>
              <w:rPr>
                <w:sz w:val="20"/>
                <w:szCs w:val="20"/>
              </w:rPr>
            </w:pPr>
          </w:p>
        </w:tc>
      </w:tr>
    </w:tbl>
    <w:p w:rsidR="0019313E" w:rsidRDefault="0019313E" w:rsidP="0019313E">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rFonts w:ascii="Arial" w:hAnsi="Arial" w:cs="Arial"/>
          <w:b/>
          <w:bCs/>
          <w:sz w:val="32"/>
          <w:szCs w:val="32"/>
        </w:rPr>
      </w:pPr>
    </w:p>
    <w:p w:rsidR="0019313E" w:rsidRDefault="0019313E" w:rsidP="0019313E">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rFonts w:ascii="Arial" w:hAnsi="Arial" w:cs="Arial"/>
          <w:b/>
          <w:bCs/>
          <w:sz w:val="32"/>
          <w:szCs w:val="32"/>
        </w:rPr>
      </w:pPr>
    </w:p>
    <w:p w:rsidR="0019313E" w:rsidRDefault="0019313E" w:rsidP="0019313E">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rFonts w:ascii="Arial" w:hAnsi="Arial" w:cs="Arial"/>
          <w:b/>
          <w:bCs/>
          <w:sz w:val="32"/>
          <w:szCs w:val="32"/>
        </w:rPr>
        <w:sectPr w:rsidR="0019313E" w:rsidSect="0017342E">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pgMar w:top="1440" w:right="1440" w:bottom="1440" w:left="1440" w:header="720" w:footer="720" w:gutter="0"/>
          <w:pgNumType w:fmt="lowerRoman"/>
          <w:cols w:space="720"/>
          <w:docGrid w:linePitch="360"/>
        </w:sectPr>
      </w:pPr>
    </w:p>
    <w:p w:rsidR="00E71EF1" w:rsidRDefault="00E71EF1" w:rsidP="00E71EF1">
      <w:pPr>
        <w:pStyle w:val="Heading1"/>
      </w:pPr>
      <w:bookmarkStart w:id="5" w:name="_Toc436822585"/>
      <w:bookmarkEnd w:id="2"/>
      <w:r>
        <w:lastRenderedPageBreak/>
        <w:t>Document Revision History</w:t>
      </w:r>
      <w:bookmarkEnd w:id="5"/>
    </w:p>
    <w:p w:rsidR="00E91C15" w:rsidRDefault="007F1E48" w:rsidP="001A573F">
      <w:r>
        <w:t xml:space="preserve">     </w:t>
      </w:r>
      <w:r w:rsidR="00E91C15">
        <w:t>Revision #</w:t>
      </w:r>
      <w:r w:rsidR="00E91C15" w:rsidRPr="00E91C15">
        <w:t xml:space="preserve"> </w:t>
      </w:r>
      <w:r w:rsidR="00E91C15">
        <w:tab/>
      </w:r>
      <w:r w:rsidR="00E91C15">
        <w:tab/>
        <w:t>Date</w:t>
      </w:r>
      <w:r w:rsidR="00E91C15" w:rsidRPr="00E91C15">
        <w:t xml:space="preserve"> </w:t>
      </w:r>
      <w:r w:rsidR="00E91C15">
        <w:tab/>
      </w:r>
      <w:r w:rsidR="00E91C15">
        <w:tab/>
        <w:t xml:space="preserve">         Description</w:t>
      </w:r>
      <w:r w:rsidR="00E91C15">
        <w:tab/>
      </w:r>
      <w:r w:rsidR="00E91C15">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E91C15" w:rsidRPr="00627E2A" w:rsidTr="00627E2A">
        <w:trPr>
          <w:trHeight w:val="464"/>
        </w:trPr>
        <w:tc>
          <w:tcPr>
            <w:tcW w:w="870" w:type="pct"/>
            <w:shd w:val="pct20" w:color="000000" w:fill="FFFFFF"/>
          </w:tcPr>
          <w:p w:rsidR="00E91C15" w:rsidRPr="001D6EB2" w:rsidRDefault="00747323" w:rsidP="008948E0">
            <w:pPr>
              <w:rPr>
                <w:b/>
                <w:bCs/>
                <w:sz w:val="20"/>
                <w:szCs w:val="20"/>
              </w:rPr>
            </w:pPr>
            <w:proofErr w:type="spellStart"/>
            <w:r w:rsidRPr="001D6EB2">
              <w:rPr>
                <w:b/>
                <w:bCs/>
                <w:sz w:val="20"/>
                <w:szCs w:val="20"/>
              </w:rPr>
              <w:t>Superceded</w:t>
            </w:r>
            <w:proofErr w:type="spellEnd"/>
          </w:p>
        </w:tc>
        <w:tc>
          <w:tcPr>
            <w:tcW w:w="746" w:type="pct"/>
            <w:shd w:val="pct20" w:color="000000" w:fill="FFFFFF"/>
          </w:tcPr>
          <w:p w:rsidR="00E91C15" w:rsidRPr="001D6EB2" w:rsidRDefault="00E91C15" w:rsidP="008948E0">
            <w:pPr>
              <w:rPr>
                <w:b/>
                <w:bCs/>
                <w:sz w:val="20"/>
                <w:szCs w:val="20"/>
                <w:highlight w:val="yellow"/>
              </w:rPr>
            </w:pPr>
          </w:p>
        </w:tc>
        <w:tc>
          <w:tcPr>
            <w:tcW w:w="1692" w:type="pct"/>
            <w:shd w:val="pct20" w:color="000000" w:fill="FFFFFF"/>
          </w:tcPr>
          <w:p w:rsidR="00E91C15" w:rsidRPr="001D6EB2" w:rsidRDefault="00747323" w:rsidP="008948E0">
            <w:pPr>
              <w:rPr>
                <w:b/>
                <w:bCs/>
                <w:sz w:val="20"/>
                <w:szCs w:val="20"/>
              </w:rPr>
            </w:pPr>
            <w:r w:rsidRPr="001D6EB2">
              <w:rPr>
                <w:b/>
                <w:bCs/>
                <w:sz w:val="20"/>
                <w:szCs w:val="20"/>
              </w:rPr>
              <w:t>Energy Star Interior CF Fixture - old workpaper.doc</w:t>
            </w:r>
          </w:p>
        </w:tc>
        <w:tc>
          <w:tcPr>
            <w:tcW w:w="1692" w:type="pct"/>
            <w:shd w:val="pct20" w:color="000000" w:fill="FFFFFF"/>
          </w:tcPr>
          <w:p w:rsidR="00E91C15" w:rsidRPr="001D6EB2" w:rsidRDefault="00747323" w:rsidP="008948E0">
            <w:pPr>
              <w:rPr>
                <w:b/>
                <w:bCs/>
                <w:sz w:val="20"/>
                <w:szCs w:val="20"/>
              </w:rPr>
            </w:pPr>
            <w:r w:rsidRPr="001D6EB2">
              <w:rPr>
                <w:b/>
                <w:bCs/>
                <w:sz w:val="20"/>
                <w:szCs w:val="20"/>
              </w:rPr>
              <w:t xml:space="preserve">Helen </w:t>
            </w:r>
            <w:proofErr w:type="spellStart"/>
            <w:r w:rsidRPr="001D6EB2">
              <w:rPr>
                <w:b/>
                <w:bCs/>
                <w:sz w:val="20"/>
                <w:szCs w:val="20"/>
              </w:rPr>
              <w:t>Fisicaro</w:t>
            </w:r>
            <w:proofErr w:type="spellEnd"/>
            <w:r w:rsidRPr="001D6EB2">
              <w:rPr>
                <w:b/>
                <w:bCs/>
                <w:sz w:val="20"/>
                <w:szCs w:val="20"/>
              </w:rPr>
              <w:t xml:space="preserve"> (PG&amp;E)</w:t>
            </w:r>
          </w:p>
        </w:tc>
      </w:tr>
      <w:tr w:rsidR="00747323" w:rsidRPr="00627E2A" w:rsidTr="00627E2A">
        <w:trPr>
          <w:trHeight w:val="464"/>
        </w:trPr>
        <w:tc>
          <w:tcPr>
            <w:tcW w:w="870" w:type="pct"/>
            <w:shd w:val="pct5" w:color="000000" w:fill="FFFFFF"/>
          </w:tcPr>
          <w:p w:rsidR="00747323" w:rsidRPr="001D6EB2" w:rsidRDefault="00747323" w:rsidP="00ED6A33">
            <w:pPr>
              <w:rPr>
                <w:sz w:val="20"/>
                <w:szCs w:val="20"/>
              </w:rPr>
            </w:pPr>
            <w:r w:rsidRPr="001D6EB2">
              <w:rPr>
                <w:sz w:val="20"/>
                <w:szCs w:val="20"/>
              </w:rPr>
              <w:t>Revision 0</w:t>
            </w:r>
          </w:p>
        </w:tc>
        <w:tc>
          <w:tcPr>
            <w:tcW w:w="746" w:type="pct"/>
            <w:shd w:val="pct5" w:color="000000" w:fill="FFFFFF"/>
          </w:tcPr>
          <w:p w:rsidR="00747323" w:rsidRPr="001D6EB2" w:rsidRDefault="00747323" w:rsidP="00ED6A33">
            <w:pPr>
              <w:rPr>
                <w:sz w:val="20"/>
                <w:szCs w:val="20"/>
                <w:highlight w:val="yellow"/>
              </w:rPr>
            </w:pPr>
            <w:r w:rsidRPr="001D6EB2">
              <w:rPr>
                <w:sz w:val="20"/>
                <w:szCs w:val="20"/>
              </w:rPr>
              <w:t>2/25/08</w:t>
            </w:r>
          </w:p>
        </w:tc>
        <w:tc>
          <w:tcPr>
            <w:tcW w:w="1692" w:type="pct"/>
            <w:shd w:val="pct5" w:color="000000" w:fill="FFFFFF"/>
          </w:tcPr>
          <w:p w:rsidR="00747323" w:rsidRPr="001D6EB2" w:rsidRDefault="00E21096" w:rsidP="00ED6A33">
            <w:pPr>
              <w:rPr>
                <w:sz w:val="20"/>
                <w:szCs w:val="20"/>
              </w:rPr>
            </w:pPr>
            <w:r w:rsidRPr="001D6EB2">
              <w:rPr>
                <w:sz w:val="20"/>
                <w:szCs w:val="20"/>
              </w:rPr>
              <w:fldChar w:fldCharType="begin"/>
            </w:r>
            <w:r w:rsidRPr="001D6EB2">
              <w:rPr>
                <w:sz w:val="20"/>
                <w:szCs w:val="20"/>
              </w:rPr>
              <w:instrText xml:space="preserve"> FILENAME </w:instrText>
            </w:r>
            <w:r w:rsidRPr="001D6EB2">
              <w:rPr>
                <w:sz w:val="20"/>
                <w:szCs w:val="20"/>
              </w:rPr>
              <w:fldChar w:fldCharType="separate"/>
            </w:r>
            <w:r w:rsidR="00321D66" w:rsidRPr="001D6EB2">
              <w:rPr>
                <w:noProof/>
                <w:sz w:val="20"/>
                <w:szCs w:val="20"/>
              </w:rPr>
              <w:t>PGECOLTG110 R5 Energy Star Interior CF.docx</w:t>
            </w:r>
            <w:r w:rsidRPr="001D6EB2">
              <w:rPr>
                <w:sz w:val="20"/>
                <w:szCs w:val="20"/>
              </w:rPr>
              <w:fldChar w:fldCharType="end"/>
            </w:r>
          </w:p>
        </w:tc>
        <w:tc>
          <w:tcPr>
            <w:tcW w:w="1692" w:type="pct"/>
            <w:shd w:val="pct5" w:color="000000" w:fill="FFFFFF"/>
          </w:tcPr>
          <w:p w:rsidR="00747323" w:rsidRPr="001D6EB2" w:rsidRDefault="00747323" w:rsidP="00ED6A33">
            <w:pPr>
              <w:rPr>
                <w:bCs/>
                <w:sz w:val="20"/>
                <w:szCs w:val="20"/>
              </w:rPr>
            </w:pPr>
            <w:r w:rsidRPr="001D6EB2">
              <w:rPr>
                <w:bCs/>
                <w:sz w:val="20"/>
                <w:szCs w:val="20"/>
              </w:rPr>
              <w:t>Emily Leslie (HDR/BVA)</w:t>
            </w:r>
            <w:r w:rsidRPr="001D6EB2">
              <w:rPr>
                <w:sz w:val="20"/>
                <w:szCs w:val="20"/>
              </w:rPr>
              <w:t xml:space="preserve"> </w:t>
            </w:r>
          </w:p>
        </w:tc>
      </w:tr>
      <w:tr w:rsidR="00124175" w:rsidRPr="00627E2A" w:rsidTr="00627E2A">
        <w:trPr>
          <w:trHeight w:val="464"/>
        </w:trPr>
        <w:tc>
          <w:tcPr>
            <w:tcW w:w="870" w:type="pct"/>
            <w:shd w:val="pct20" w:color="000000" w:fill="FFFFFF"/>
          </w:tcPr>
          <w:p w:rsidR="00124175" w:rsidRPr="001D6EB2" w:rsidRDefault="00124175" w:rsidP="006435D3">
            <w:pPr>
              <w:rPr>
                <w:sz w:val="20"/>
                <w:szCs w:val="20"/>
              </w:rPr>
            </w:pPr>
            <w:r w:rsidRPr="001D6EB2">
              <w:rPr>
                <w:sz w:val="20"/>
                <w:szCs w:val="20"/>
              </w:rPr>
              <w:t>Revision 1</w:t>
            </w:r>
          </w:p>
        </w:tc>
        <w:tc>
          <w:tcPr>
            <w:tcW w:w="746" w:type="pct"/>
            <w:shd w:val="pct20" w:color="000000" w:fill="FFFFFF"/>
          </w:tcPr>
          <w:p w:rsidR="00124175" w:rsidRPr="001D6EB2" w:rsidRDefault="006C7EDC" w:rsidP="006435D3">
            <w:pPr>
              <w:rPr>
                <w:sz w:val="20"/>
                <w:szCs w:val="20"/>
                <w:highlight w:val="yellow"/>
              </w:rPr>
            </w:pPr>
            <w:r w:rsidRPr="001D6EB2">
              <w:rPr>
                <w:sz w:val="20"/>
                <w:szCs w:val="20"/>
              </w:rPr>
              <w:t>08/03</w:t>
            </w:r>
            <w:r w:rsidR="004F3ECB" w:rsidRPr="001D6EB2">
              <w:rPr>
                <w:sz w:val="20"/>
                <w:szCs w:val="20"/>
              </w:rPr>
              <w:t>/09</w:t>
            </w:r>
          </w:p>
        </w:tc>
        <w:bookmarkStart w:id="6" w:name="OLE_LINK2"/>
        <w:bookmarkStart w:id="7" w:name="OLE_LINK3"/>
        <w:tc>
          <w:tcPr>
            <w:tcW w:w="1692" w:type="pct"/>
            <w:shd w:val="pct20" w:color="000000" w:fill="FFFFFF"/>
          </w:tcPr>
          <w:p w:rsidR="00124175" w:rsidRPr="001D6EB2" w:rsidRDefault="00C9462E" w:rsidP="006435D3">
            <w:pPr>
              <w:rPr>
                <w:sz w:val="20"/>
                <w:szCs w:val="20"/>
              </w:rPr>
            </w:pPr>
            <w:r w:rsidRPr="001D6EB2">
              <w:rPr>
                <w:sz w:val="20"/>
                <w:szCs w:val="20"/>
              </w:rPr>
              <w:fldChar w:fldCharType="begin"/>
            </w:r>
            <w:r w:rsidRPr="001D6EB2">
              <w:rPr>
                <w:sz w:val="20"/>
                <w:szCs w:val="20"/>
              </w:rPr>
              <w:instrText xml:space="preserve"> FILENAME </w:instrText>
            </w:r>
            <w:r w:rsidRPr="001D6EB2">
              <w:rPr>
                <w:sz w:val="20"/>
                <w:szCs w:val="20"/>
              </w:rPr>
              <w:fldChar w:fldCharType="separate"/>
            </w:r>
            <w:r w:rsidR="00321D66" w:rsidRPr="001D6EB2">
              <w:rPr>
                <w:noProof/>
                <w:sz w:val="20"/>
                <w:szCs w:val="20"/>
              </w:rPr>
              <w:t>PGECOLTG110 R5 Energy Star Interior CF.docx</w:t>
            </w:r>
            <w:r w:rsidRPr="001D6EB2">
              <w:rPr>
                <w:sz w:val="20"/>
                <w:szCs w:val="20"/>
              </w:rPr>
              <w:fldChar w:fldCharType="end"/>
            </w:r>
            <w:bookmarkEnd w:id="6"/>
            <w:bookmarkEnd w:id="7"/>
          </w:p>
        </w:tc>
        <w:tc>
          <w:tcPr>
            <w:tcW w:w="1692" w:type="pct"/>
            <w:shd w:val="pct20" w:color="000000" w:fill="FFFFFF"/>
          </w:tcPr>
          <w:p w:rsidR="00124175" w:rsidRPr="001D6EB2" w:rsidRDefault="00C9462E" w:rsidP="006435D3">
            <w:pPr>
              <w:rPr>
                <w:bCs/>
                <w:sz w:val="20"/>
                <w:szCs w:val="20"/>
              </w:rPr>
            </w:pPr>
            <w:r w:rsidRPr="001D6EB2">
              <w:rPr>
                <w:bCs/>
                <w:sz w:val="20"/>
                <w:szCs w:val="20"/>
              </w:rPr>
              <w:t xml:space="preserve">Jenny </w:t>
            </w:r>
            <w:proofErr w:type="spellStart"/>
            <w:r w:rsidRPr="001D6EB2">
              <w:rPr>
                <w:bCs/>
                <w:sz w:val="20"/>
                <w:szCs w:val="20"/>
              </w:rPr>
              <w:t>Roecks</w:t>
            </w:r>
            <w:proofErr w:type="spellEnd"/>
            <w:r w:rsidRPr="001D6EB2">
              <w:rPr>
                <w:bCs/>
                <w:sz w:val="20"/>
                <w:szCs w:val="20"/>
              </w:rPr>
              <w:t xml:space="preserve"> (PG&amp;E)</w:t>
            </w:r>
            <w:r w:rsidR="00124175" w:rsidRPr="001D6EB2">
              <w:rPr>
                <w:sz w:val="20"/>
                <w:szCs w:val="20"/>
              </w:rPr>
              <w:t xml:space="preserve"> </w:t>
            </w:r>
          </w:p>
        </w:tc>
      </w:tr>
      <w:tr w:rsidR="00B24877" w:rsidRPr="00627E2A" w:rsidTr="00627E2A">
        <w:trPr>
          <w:trHeight w:val="464"/>
        </w:trPr>
        <w:tc>
          <w:tcPr>
            <w:tcW w:w="870" w:type="pct"/>
            <w:shd w:val="pct5" w:color="000000" w:fill="FFFFFF"/>
          </w:tcPr>
          <w:p w:rsidR="00B24877" w:rsidRPr="001D6EB2" w:rsidRDefault="00B24877" w:rsidP="00D450D3">
            <w:pPr>
              <w:rPr>
                <w:sz w:val="20"/>
                <w:szCs w:val="20"/>
              </w:rPr>
            </w:pPr>
            <w:r w:rsidRPr="001D6EB2">
              <w:rPr>
                <w:sz w:val="20"/>
                <w:szCs w:val="20"/>
              </w:rPr>
              <w:t>Revision 2</w:t>
            </w:r>
          </w:p>
        </w:tc>
        <w:tc>
          <w:tcPr>
            <w:tcW w:w="746" w:type="pct"/>
            <w:shd w:val="pct5" w:color="000000" w:fill="FFFFFF"/>
          </w:tcPr>
          <w:p w:rsidR="00B24877" w:rsidRPr="001D6EB2" w:rsidRDefault="00B24877" w:rsidP="00D450D3">
            <w:pPr>
              <w:rPr>
                <w:sz w:val="20"/>
                <w:szCs w:val="20"/>
                <w:highlight w:val="yellow"/>
              </w:rPr>
            </w:pPr>
            <w:r w:rsidRPr="001D6EB2">
              <w:rPr>
                <w:sz w:val="20"/>
                <w:szCs w:val="20"/>
              </w:rPr>
              <w:t>3/24/10</w:t>
            </w:r>
          </w:p>
        </w:tc>
        <w:tc>
          <w:tcPr>
            <w:tcW w:w="1692" w:type="pct"/>
            <w:shd w:val="pct5" w:color="000000" w:fill="FFFFFF"/>
          </w:tcPr>
          <w:p w:rsidR="00B24877" w:rsidRPr="001D6EB2" w:rsidRDefault="00B24877" w:rsidP="00D450D3">
            <w:pPr>
              <w:rPr>
                <w:sz w:val="20"/>
                <w:szCs w:val="20"/>
              </w:rPr>
            </w:pPr>
            <w:r w:rsidRPr="001D6EB2">
              <w:rPr>
                <w:sz w:val="20"/>
                <w:szCs w:val="20"/>
              </w:rPr>
              <w:fldChar w:fldCharType="begin"/>
            </w:r>
            <w:r w:rsidRPr="001D6EB2">
              <w:rPr>
                <w:sz w:val="20"/>
                <w:szCs w:val="20"/>
              </w:rPr>
              <w:instrText xml:space="preserve"> FILENAME </w:instrText>
            </w:r>
            <w:r w:rsidRPr="001D6EB2">
              <w:rPr>
                <w:sz w:val="20"/>
                <w:szCs w:val="20"/>
              </w:rPr>
              <w:fldChar w:fldCharType="separate"/>
            </w:r>
            <w:r w:rsidR="00321D66" w:rsidRPr="001D6EB2">
              <w:rPr>
                <w:noProof/>
                <w:sz w:val="20"/>
                <w:szCs w:val="20"/>
              </w:rPr>
              <w:t>PGECOLTG110 R5 Energy Star Interior CF.docx</w:t>
            </w:r>
            <w:r w:rsidRPr="001D6EB2">
              <w:rPr>
                <w:sz w:val="20"/>
                <w:szCs w:val="20"/>
              </w:rPr>
              <w:fldChar w:fldCharType="end"/>
            </w:r>
          </w:p>
        </w:tc>
        <w:tc>
          <w:tcPr>
            <w:tcW w:w="1692" w:type="pct"/>
            <w:shd w:val="pct5" w:color="000000" w:fill="FFFFFF"/>
          </w:tcPr>
          <w:p w:rsidR="00B24877" w:rsidRPr="001D6EB2" w:rsidRDefault="00B24877" w:rsidP="00D450D3">
            <w:pPr>
              <w:rPr>
                <w:bCs/>
                <w:sz w:val="20"/>
                <w:szCs w:val="20"/>
              </w:rPr>
            </w:pPr>
            <w:r w:rsidRPr="001D6EB2">
              <w:rPr>
                <w:bCs/>
                <w:sz w:val="20"/>
                <w:szCs w:val="20"/>
              </w:rPr>
              <w:t xml:space="preserve">Jenny </w:t>
            </w:r>
            <w:proofErr w:type="spellStart"/>
            <w:r w:rsidRPr="001D6EB2">
              <w:rPr>
                <w:bCs/>
                <w:sz w:val="20"/>
                <w:szCs w:val="20"/>
              </w:rPr>
              <w:t>Roecks</w:t>
            </w:r>
            <w:proofErr w:type="spellEnd"/>
            <w:r w:rsidRPr="001D6EB2">
              <w:rPr>
                <w:bCs/>
                <w:sz w:val="20"/>
                <w:szCs w:val="20"/>
              </w:rPr>
              <w:t xml:space="preserve"> (PG&amp;E)</w:t>
            </w:r>
          </w:p>
        </w:tc>
      </w:tr>
      <w:tr w:rsidR="00747323" w:rsidRPr="00582FC8" w:rsidTr="00627E2A">
        <w:trPr>
          <w:trHeight w:val="464"/>
        </w:trPr>
        <w:tc>
          <w:tcPr>
            <w:tcW w:w="870" w:type="pct"/>
            <w:shd w:val="pct20" w:color="000000" w:fill="FFFFFF"/>
          </w:tcPr>
          <w:p w:rsidR="00747323" w:rsidRPr="001D6EB2" w:rsidRDefault="00582FC8" w:rsidP="00746DDC">
            <w:pPr>
              <w:rPr>
                <w:sz w:val="20"/>
                <w:szCs w:val="20"/>
              </w:rPr>
            </w:pPr>
            <w:r w:rsidRPr="001D6EB2">
              <w:rPr>
                <w:sz w:val="20"/>
                <w:szCs w:val="20"/>
              </w:rPr>
              <w:t>Revision 3</w:t>
            </w:r>
          </w:p>
        </w:tc>
        <w:tc>
          <w:tcPr>
            <w:tcW w:w="746" w:type="pct"/>
            <w:shd w:val="pct20" w:color="000000" w:fill="FFFFFF"/>
          </w:tcPr>
          <w:p w:rsidR="00747323" w:rsidRPr="001D6EB2" w:rsidRDefault="00582FC8" w:rsidP="00746DDC">
            <w:pPr>
              <w:rPr>
                <w:sz w:val="20"/>
                <w:szCs w:val="20"/>
              </w:rPr>
            </w:pPr>
            <w:r w:rsidRPr="001D6EB2">
              <w:rPr>
                <w:sz w:val="20"/>
                <w:szCs w:val="20"/>
              </w:rPr>
              <w:t>6/4/12</w:t>
            </w:r>
          </w:p>
        </w:tc>
        <w:tc>
          <w:tcPr>
            <w:tcW w:w="1692" w:type="pct"/>
            <w:shd w:val="pct20" w:color="000000" w:fill="FFFFFF"/>
          </w:tcPr>
          <w:p w:rsidR="00747323" w:rsidRPr="001D6EB2" w:rsidRDefault="00582FC8" w:rsidP="00582FC8">
            <w:pPr>
              <w:rPr>
                <w:sz w:val="20"/>
                <w:szCs w:val="20"/>
              </w:rPr>
            </w:pPr>
            <w:r w:rsidRPr="001D6EB2">
              <w:rPr>
                <w:sz w:val="20"/>
                <w:szCs w:val="20"/>
              </w:rPr>
              <w:fldChar w:fldCharType="begin"/>
            </w:r>
            <w:r w:rsidRPr="001D6EB2">
              <w:rPr>
                <w:sz w:val="20"/>
                <w:szCs w:val="20"/>
              </w:rPr>
              <w:instrText xml:space="preserve"> FILENAME </w:instrText>
            </w:r>
            <w:r w:rsidRPr="001D6EB2">
              <w:rPr>
                <w:sz w:val="20"/>
                <w:szCs w:val="20"/>
              </w:rPr>
              <w:fldChar w:fldCharType="separate"/>
            </w:r>
            <w:r w:rsidR="00321D66" w:rsidRPr="001D6EB2">
              <w:rPr>
                <w:noProof/>
                <w:sz w:val="20"/>
                <w:szCs w:val="20"/>
              </w:rPr>
              <w:t>PGECOLTG110 R5 Energy Star Interior CF.docx</w:t>
            </w:r>
            <w:r w:rsidRPr="001D6EB2">
              <w:rPr>
                <w:sz w:val="20"/>
                <w:szCs w:val="20"/>
              </w:rPr>
              <w:fldChar w:fldCharType="end"/>
            </w:r>
          </w:p>
          <w:p w:rsidR="00582FC8" w:rsidRPr="001D6EB2" w:rsidRDefault="00582FC8" w:rsidP="00582FC8">
            <w:pPr>
              <w:rPr>
                <w:sz w:val="20"/>
                <w:szCs w:val="20"/>
              </w:rPr>
            </w:pPr>
          </w:p>
          <w:p w:rsidR="00582FC8" w:rsidRPr="001D6EB2" w:rsidRDefault="00582FC8" w:rsidP="009E42B2">
            <w:pPr>
              <w:rPr>
                <w:sz w:val="20"/>
                <w:szCs w:val="20"/>
              </w:rPr>
            </w:pPr>
            <w:proofErr w:type="spellStart"/>
            <w:r w:rsidRPr="001D6EB2">
              <w:rPr>
                <w:sz w:val="20"/>
                <w:szCs w:val="20"/>
              </w:rPr>
              <w:t>Workpaper</w:t>
            </w:r>
            <w:proofErr w:type="spellEnd"/>
            <w:r w:rsidRPr="001D6EB2">
              <w:rPr>
                <w:sz w:val="20"/>
                <w:szCs w:val="20"/>
              </w:rPr>
              <w:t xml:space="preserve"> updated to DEER 2011, </w:t>
            </w:r>
            <w:r w:rsidR="003474F7" w:rsidRPr="001D6EB2">
              <w:rPr>
                <w:sz w:val="20"/>
                <w:szCs w:val="20"/>
              </w:rPr>
              <w:t>new NTG</w:t>
            </w:r>
            <w:r w:rsidRPr="001D6EB2">
              <w:rPr>
                <w:sz w:val="20"/>
                <w:szCs w:val="20"/>
              </w:rPr>
              <w:t>, new wattage reduction ratio</w:t>
            </w:r>
          </w:p>
        </w:tc>
        <w:tc>
          <w:tcPr>
            <w:tcW w:w="1692" w:type="pct"/>
            <w:shd w:val="pct20" w:color="000000" w:fill="FFFFFF"/>
          </w:tcPr>
          <w:p w:rsidR="00747323" w:rsidRPr="001D6EB2" w:rsidRDefault="00582FC8" w:rsidP="00746DDC">
            <w:pPr>
              <w:rPr>
                <w:sz w:val="20"/>
                <w:szCs w:val="20"/>
              </w:rPr>
            </w:pPr>
            <w:r w:rsidRPr="001D6EB2">
              <w:rPr>
                <w:sz w:val="20"/>
                <w:szCs w:val="20"/>
              </w:rPr>
              <w:t xml:space="preserve">Jenny </w:t>
            </w:r>
            <w:proofErr w:type="spellStart"/>
            <w:r w:rsidRPr="001D6EB2">
              <w:rPr>
                <w:sz w:val="20"/>
                <w:szCs w:val="20"/>
              </w:rPr>
              <w:t>Roecks</w:t>
            </w:r>
            <w:proofErr w:type="spellEnd"/>
            <w:r w:rsidRPr="001D6EB2">
              <w:rPr>
                <w:sz w:val="20"/>
                <w:szCs w:val="20"/>
              </w:rPr>
              <w:t xml:space="preserve"> (PG&amp;E)</w:t>
            </w:r>
            <w:r w:rsidR="009E42B2" w:rsidRPr="001D6EB2">
              <w:rPr>
                <w:sz w:val="20"/>
                <w:szCs w:val="20"/>
              </w:rPr>
              <w:t>, Reviewed by Alina Zohrabian</w:t>
            </w:r>
          </w:p>
        </w:tc>
      </w:tr>
      <w:tr w:rsidR="00F95DC2" w:rsidRPr="00582FC8" w:rsidTr="001D6EB2">
        <w:trPr>
          <w:trHeight w:val="464"/>
        </w:trPr>
        <w:tc>
          <w:tcPr>
            <w:tcW w:w="870" w:type="pct"/>
            <w:shd w:val="clear" w:color="auto" w:fill="F2F2F2" w:themeFill="background1" w:themeFillShade="F2"/>
          </w:tcPr>
          <w:p w:rsidR="00F95DC2" w:rsidRPr="001D6EB2" w:rsidRDefault="00F95DC2" w:rsidP="00746DDC">
            <w:pPr>
              <w:rPr>
                <w:sz w:val="20"/>
                <w:szCs w:val="20"/>
              </w:rPr>
            </w:pPr>
            <w:r w:rsidRPr="001D6EB2">
              <w:rPr>
                <w:sz w:val="20"/>
                <w:szCs w:val="20"/>
              </w:rPr>
              <w:t>Revision 3</w:t>
            </w:r>
          </w:p>
        </w:tc>
        <w:tc>
          <w:tcPr>
            <w:tcW w:w="746" w:type="pct"/>
            <w:shd w:val="clear" w:color="auto" w:fill="F2F2F2" w:themeFill="background1" w:themeFillShade="F2"/>
          </w:tcPr>
          <w:p w:rsidR="00F95DC2" w:rsidRPr="001D6EB2" w:rsidRDefault="00F95DC2" w:rsidP="00746DDC">
            <w:pPr>
              <w:rPr>
                <w:sz w:val="20"/>
                <w:szCs w:val="20"/>
              </w:rPr>
            </w:pPr>
            <w:r w:rsidRPr="001D6EB2">
              <w:rPr>
                <w:sz w:val="20"/>
                <w:szCs w:val="20"/>
              </w:rPr>
              <w:t>8/28/12</w:t>
            </w:r>
          </w:p>
        </w:tc>
        <w:tc>
          <w:tcPr>
            <w:tcW w:w="1692" w:type="pct"/>
            <w:shd w:val="clear" w:color="auto" w:fill="F2F2F2" w:themeFill="background1" w:themeFillShade="F2"/>
          </w:tcPr>
          <w:p w:rsidR="00F95DC2" w:rsidRPr="001D6EB2" w:rsidRDefault="00F95DC2" w:rsidP="00582FC8">
            <w:pPr>
              <w:rPr>
                <w:sz w:val="20"/>
                <w:szCs w:val="20"/>
              </w:rPr>
            </w:pPr>
            <w:r w:rsidRPr="001D6EB2">
              <w:rPr>
                <w:sz w:val="20"/>
                <w:szCs w:val="20"/>
              </w:rPr>
              <w:t>For Vintage AV is changed to EX and For Climate Zone All is changed to IOU</w:t>
            </w:r>
          </w:p>
        </w:tc>
        <w:tc>
          <w:tcPr>
            <w:tcW w:w="1692" w:type="pct"/>
            <w:shd w:val="clear" w:color="auto" w:fill="F2F2F2" w:themeFill="background1" w:themeFillShade="F2"/>
          </w:tcPr>
          <w:p w:rsidR="00F95DC2" w:rsidRPr="001D6EB2" w:rsidRDefault="00F95DC2" w:rsidP="00746DDC">
            <w:pPr>
              <w:rPr>
                <w:sz w:val="20"/>
                <w:szCs w:val="20"/>
              </w:rPr>
            </w:pPr>
            <w:r w:rsidRPr="001D6EB2">
              <w:rPr>
                <w:sz w:val="20"/>
                <w:szCs w:val="20"/>
              </w:rPr>
              <w:t>Alina Zohrabian (PG&amp;E)</w:t>
            </w:r>
          </w:p>
        </w:tc>
      </w:tr>
      <w:tr w:rsidR="000A59B3" w:rsidRPr="00582FC8" w:rsidTr="00627E2A">
        <w:trPr>
          <w:trHeight w:val="464"/>
        </w:trPr>
        <w:tc>
          <w:tcPr>
            <w:tcW w:w="870" w:type="pct"/>
            <w:shd w:val="pct20" w:color="000000" w:fill="FFFFFF"/>
          </w:tcPr>
          <w:p w:rsidR="000A59B3" w:rsidRPr="001D6EB2" w:rsidRDefault="000A59B3" w:rsidP="00746DDC">
            <w:pPr>
              <w:rPr>
                <w:sz w:val="20"/>
                <w:szCs w:val="20"/>
              </w:rPr>
            </w:pPr>
            <w:r w:rsidRPr="001D6EB2">
              <w:rPr>
                <w:sz w:val="20"/>
                <w:szCs w:val="20"/>
              </w:rPr>
              <w:t>Revision 4</w:t>
            </w:r>
          </w:p>
        </w:tc>
        <w:tc>
          <w:tcPr>
            <w:tcW w:w="746" w:type="pct"/>
            <w:shd w:val="pct20" w:color="000000" w:fill="FFFFFF"/>
          </w:tcPr>
          <w:p w:rsidR="000A59B3" w:rsidRPr="001D6EB2" w:rsidRDefault="000A59B3" w:rsidP="00746DDC">
            <w:pPr>
              <w:rPr>
                <w:sz w:val="20"/>
                <w:szCs w:val="20"/>
              </w:rPr>
            </w:pPr>
            <w:r w:rsidRPr="001D6EB2">
              <w:rPr>
                <w:sz w:val="20"/>
                <w:szCs w:val="20"/>
              </w:rPr>
              <w:t>7/12/13</w:t>
            </w:r>
          </w:p>
        </w:tc>
        <w:tc>
          <w:tcPr>
            <w:tcW w:w="1692" w:type="pct"/>
            <w:shd w:val="pct20" w:color="000000" w:fill="FFFFFF"/>
          </w:tcPr>
          <w:p w:rsidR="000A59B3" w:rsidRPr="001D6EB2" w:rsidRDefault="000A59B3" w:rsidP="00582FC8">
            <w:pPr>
              <w:rPr>
                <w:bCs/>
                <w:color w:val="FF0000"/>
                <w:sz w:val="20"/>
                <w:szCs w:val="20"/>
              </w:rPr>
            </w:pPr>
            <w:r w:rsidRPr="001D6EB2">
              <w:rPr>
                <w:bCs/>
                <w:sz w:val="20"/>
                <w:szCs w:val="20"/>
              </w:rPr>
              <w:t xml:space="preserve">Revised Savings values per ED </w:t>
            </w:r>
            <w:proofErr w:type="spellStart"/>
            <w:r w:rsidRPr="001D6EB2">
              <w:rPr>
                <w:bCs/>
                <w:sz w:val="20"/>
                <w:szCs w:val="20"/>
              </w:rPr>
              <w:t>Workpaper</w:t>
            </w:r>
            <w:proofErr w:type="spellEnd"/>
            <w:r w:rsidRPr="001D6EB2">
              <w:rPr>
                <w:bCs/>
                <w:sz w:val="20"/>
                <w:szCs w:val="20"/>
              </w:rPr>
              <w:t xml:space="preserve"> Disposition for Lighting Retrofit, issue March, 2013. For updated savi</w:t>
            </w:r>
            <w:r w:rsidR="000D0468" w:rsidRPr="001D6EB2">
              <w:rPr>
                <w:bCs/>
                <w:sz w:val="20"/>
                <w:szCs w:val="20"/>
              </w:rPr>
              <w:t>ngs values, see file PGECOLTG110</w:t>
            </w:r>
            <w:r w:rsidRPr="001D6EB2">
              <w:rPr>
                <w:bCs/>
                <w:sz w:val="20"/>
                <w:szCs w:val="20"/>
              </w:rPr>
              <w:t xml:space="preserve"> R4-Calcs.xlsx</w:t>
            </w:r>
          </w:p>
          <w:p w:rsidR="000A59B3" w:rsidRPr="001D6EB2" w:rsidRDefault="000A59B3" w:rsidP="00582FC8">
            <w:pPr>
              <w:rPr>
                <w:sz w:val="20"/>
                <w:szCs w:val="20"/>
              </w:rPr>
            </w:pPr>
            <w:r w:rsidRPr="001D6EB2">
              <w:rPr>
                <w:sz w:val="20"/>
                <w:szCs w:val="20"/>
              </w:rPr>
              <w:t>PGE used 100 watts for base case and 28.3 watt for measure case. ED suggested using WRR of 3.53 on a 29 Watt CFL to calculate the base case in the disposition. This changed the base case from 100 watts to 102.37 watts, and the measure case from 28.3 to 29 watts.</w:t>
            </w:r>
          </w:p>
          <w:p w:rsidR="007E3AF9" w:rsidRPr="001D6EB2" w:rsidRDefault="007E3AF9" w:rsidP="00582FC8">
            <w:pPr>
              <w:rPr>
                <w:sz w:val="20"/>
                <w:szCs w:val="20"/>
              </w:rPr>
            </w:pPr>
            <w:r w:rsidRPr="001D6EB2">
              <w:rPr>
                <w:sz w:val="20"/>
                <w:szCs w:val="20"/>
              </w:rPr>
              <w:t>ISR changed from 0.89 to 0.87.</w:t>
            </w:r>
          </w:p>
        </w:tc>
        <w:tc>
          <w:tcPr>
            <w:tcW w:w="1692" w:type="pct"/>
            <w:shd w:val="pct20" w:color="000000" w:fill="FFFFFF"/>
          </w:tcPr>
          <w:p w:rsidR="000A59B3" w:rsidRPr="001D6EB2" w:rsidRDefault="000A59B3" w:rsidP="00746DDC">
            <w:pPr>
              <w:rPr>
                <w:sz w:val="20"/>
                <w:szCs w:val="20"/>
              </w:rPr>
            </w:pPr>
            <w:r w:rsidRPr="001D6EB2">
              <w:rPr>
                <w:sz w:val="20"/>
                <w:szCs w:val="20"/>
              </w:rPr>
              <w:t>Alina Zohrabian (PG&amp;E)</w:t>
            </w:r>
          </w:p>
        </w:tc>
      </w:tr>
      <w:tr w:rsidR="00821F9F" w:rsidRPr="00582FC8" w:rsidTr="001D6EB2">
        <w:trPr>
          <w:trHeight w:val="464"/>
        </w:trPr>
        <w:tc>
          <w:tcPr>
            <w:tcW w:w="870" w:type="pct"/>
            <w:shd w:val="clear" w:color="auto" w:fill="F2F2F2" w:themeFill="background1" w:themeFillShade="F2"/>
          </w:tcPr>
          <w:p w:rsidR="00821F9F" w:rsidRPr="001D6EB2" w:rsidRDefault="00821F9F" w:rsidP="00746DDC">
            <w:pPr>
              <w:rPr>
                <w:sz w:val="20"/>
                <w:szCs w:val="20"/>
              </w:rPr>
            </w:pPr>
            <w:r w:rsidRPr="001D6EB2">
              <w:rPr>
                <w:sz w:val="20"/>
                <w:szCs w:val="20"/>
              </w:rPr>
              <w:t>Revision 5</w:t>
            </w:r>
          </w:p>
        </w:tc>
        <w:tc>
          <w:tcPr>
            <w:tcW w:w="746" w:type="pct"/>
            <w:shd w:val="clear" w:color="auto" w:fill="F2F2F2" w:themeFill="background1" w:themeFillShade="F2"/>
          </w:tcPr>
          <w:p w:rsidR="00821F9F" w:rsidRPr="001D6EB2" w:rsidRDefault="00821F9F" w:rsidP="00746DDC">
            <w:pPr>
              <w:rPr>
                <w:sz w:val="20"/>
                <w:szCs w:val="20"/>
              </w:rPr>
            </w:pPr>
            <w:r w:rsidRPr="001D6EB2">
              <w:rPr>
                <w:sz w:val="20"/>
                <w:szCs w:val="20"/>
              </w:rPr>
              <w:t>5/16/14</w:t>
            </w:r>
          </w:p>
        </w:tc>
        <w:tc>
          <w:tcPr>
            <w:tcW w:w="1692" w:type="pct"/>
            <w:shd w:val="clear" w:color="auto" w:fill="F2F2F2" w:themeFill="background1" w:themeFillShade="F2"/>
          </w:tcPr>
          <w:p w:rsidR="00821F9F" w:rsidRPr="001D6EB2" w:rsidRDefault="00FA7870" w:rsidP="00FA7870">
            <w:pPr>
              <w:rPr>
                <w:bCs/>
                <w:color w:val="FF0000"/>
                <w:sz w:val="20"/>
                <w:szCs w:val="20"/>
              </w:rPr>
            </w:pPr>
            <w:r w:rsidRPr="001D6EB2">
              <w:rPr>
                <w:bCs/>
                <w:sz w:val="20"/>
                <w:szCs w:val="20"/>
              </w:rPr>
              <w:t>ED recommended indoor common area hours for multifamily CFL of 6142 and recommended the IE set of MFM. Revised savings values per ED Disposition for lighting Retrofit, December 14, 2013. For updated savings values, see file PGECOLTG110 R5.xlsx</w:t>
            </w:r>
          </w:p>
        </w:tc>
        <w:tc>
          <w:tcPr>
            <w:tcW w:w="1692" w:type="pct"/>
            <w:shd w:val="clear" w:color="auto" w:fill="F2F2F2" w:themeFill="background1" w:themeFillShade="F2"/>
          </w:tcPr>
          <w:p w:rsidR="00821F9F" w:rsidRPr="001D6EB2" w:rsidRDefault="00821F9F" w:rsidP="00746DDC">
            <w:pPr>
              <w:rPr>
                <w:sz w:val="20"/>
                <w:szCs w:val="20"/>
              </w:rPr>
            </w:pPr>
            <w:r w:rsidRPr="001D6EB2">
              <w:rPr>
                <w:sz w:val="20"/>
                <w:szCs w:val="20"/>
              </w:rPr>
              <w:t>Alina Zohrabian (PG&amp;E)</w:t>
            </w:r>
          </w:p>
        </w:tc>
      </w:tr>
      <w:tr w:rsidR="009934C6" w:rsidRPr="00582FC8" w:rsidTr="00627E2A">
        <w:trPr>
          <w:trHeight w:val="464"/>
        </w:trPr>
        <w:tc>
          <w:tcPr>
            <w:tcW w:w="870" w:type="pct"/>
            <w:shd w:val="pct20" w:color="000000" w:fill="FFFFFF"/>
          </w:tcPr>
          <w:p w:rsidR="009934C6" w:rsidRPr="001D6EB2" w:rsidRDefault="009934C6" w:rsidP="00746DDC">
            <w:pPr>
              <w:rPr>
                <w:sz w:val="20"/>
                <w:szCs w:val="20"/>
              </w:rPr>
            </w:pPr>
            <w:r w:rsidRPr="001D6EB2">
              <w:rPr>
                <w:sz w:val="20"/>
                <w:szCs w:val="20"/>
              </w:rPr>
              <w:t>Revision 6</w:t>
            </w:r>
          </w:p>
        </w:tc>
        <w:tc>
          <w:tcPr>
            <w:tcW w:w="746" w:type="pct"/>
            <w:shd w:val="pct20" w:color="000000" w:fill="FFFFFF"/>
          </w:tcPr>
          <w:p w:rsidR="009934C6" w:rsidRPr="001D6EB2" w:rsidRDefault="009934C6" w:rsidP="00746DDC">
            <w:pPr>
              <w:rPr>
                <w:sz w:val="20"/>
                <w:szCs w:val="20"/>
              </w:rPr>
            </w:pPr>
            <w:r w:rsidRPr="001D6EB2">
              <w:rPr>
                <w:sz w:val="20"/>
                <w:szCs w:val="20"/>
              </w:rPr>
              <w:t>1/1/2016</w:t>
            </w:r>
          </w:p>
        </w:tc>
        <w:tc>
          <w:tcPr>
            <w:tcW w:w="1692" w:type="pct"/>
            <w:shd w:val="pct20" w:color="000000" w:fill="FFFFFF"/>
          </w:tcPr>
          <w:p w:rsidR="009934C6" w:rsidRPr="001D6EB2" w:rsidRDefault="005F7D49" w:rsidP="00F20BDE">
            <w:pPr>
              <w:rPr>
                <w:bCs/>
                <w:sz w:val="20"/>
                <w:szCs w:val="20"/>
              </w:rPr>
            </w:pPr>
            <w:r>
              <w:rPr>
                <w:bCs/>
                <w:sz w:val="20"/>
                <w:szCs w:val="20"/>
              </w:rPr>
              <w:t xml:space="preserve">Updated base case cost and </w:t>
            </w:r>
            <w:r w:rsidRPr="001D6EB2">
              <w:rPr>
                <w:bCs/>
                <w:sz w:val="20"/>
                <w:szCs w:val="20"/>
              </w:rPr>
              <w:t>measure</w:t>
            </w:r>
            <w:r w:rsidR="000B462F" w:rsidRPr="001D6EB2">
              <w:rPr>
                <w:bCs/>
                <w:sz w:val="20"/>
                <w:szCs w:val="20"/>
              </w:rPr>
              <w:t xml:space="preserve"> cost</w:t>
            </w:r>
            <w:r>
              <w:rPr>
                <w:bCs/>
                <w:sz w:val="20"/>
                <w:szCs w:val="20"/>
              </w:rPr>
              <w:t>.</w:t>
            </w:r>
          </w:p>
        </w:tc>
        <w:tc>
          <w:tcPr>
            <w:tcW w:w="1692" w:type="pct"/>
            <w:shd w:val="pct20" w:color="000000" w:fill="FFFFFF"/>
          </w:tcPr>
          <w:p w:rsidR="009934C6" w:rsidRPr="001D6EB2" w:rsidRDefault="009934C6" w:rsidP="00746DDC">
            <w:pPr>
              <w:rPr>
                <w:sz w:val="20"/>
                <w:szCs w:val="20"/>
              </w:rPr>
            </w:pPr>
            <w:r w:rsidRPr="001D6EB2">
              <w:rPr>
                <w:sz w:val="20"/>
                <w:szCs w:val="20"/>
              </w:rPr>
              <w:t>Linda Wan (PG&amp;E)</w:t>
            </w:r>
            <w:r w:rsidR="005F7D49">
              <w:rPr>
                <w:sz w:val="20"/>
                <w:szCs w:val="20"/>
              </w:rPr>
              <w:t>/</w:t>
            </w:r>
            <w:r w:rsidR="005F7D49" w:rsidRPr="001D6EB2">
              <w:rPr>
                <w:sz w:val="20"/>
                <w:szCs w:val="20"/>
              </w:rPr>
              <w:t xml:space="preserve"> </w:t>
            </w:r>
            <w:r w:rsidR="005F7D49" w:rsidRPr="001D6EB2">
              <w:rPr>
                <w:sz w:val="20"/>
                <w:szCs w:val="20"/>
              </w:rPr>
              <w:t xml:space="preserve">Alina </w:t>
            </w:r>
            <w:proofErr w:type="spellStart"/>
            <w:r w:rsidR="005F7D49" w:rsidRPr="001D6EB2">
              <w:rPr>
                <w:sz w:val="20"/>
                <w:szCs w:val="20"/>
              </w:rPr>
              <w:t>Zohrabian</w:t>
            </w:r>
            <w:proofErr w:type="spellEnd"/>
            <w:r w:rsidR="005F7D49" w:rsidRPr="001D6EB2">
              <w:rPr>
                <w:sz w:val="20"/>
                <w:szCs w:val="20"/>
              </w:rPr>
              <w:t xml:space="preserve"> (PG&amp;E)</w:t>
            </w:r>
            <w:r w:rsidR="005F7D49">
              <w:rPr>
                <w:sz w:val="20"/>
                <w:szCs w:val="20"/>
              </w:rPr>
              <w:t>/Tai Voong (PG&amp;E)</w:t>
            </w:r>
          </w:p>
        </w:tc>
      </w:tr>
    </w:tbl>
    <w:p w:rsidR="00E71EF1" w:rsidRPr="00A37AEF" w:rsidRDefault="00E71EF1" w:rsidP="00A37AEF">
      <w:pPr>
        <w:tabs>
          <w:tab w:val="left" w:pos="7920"/>
        </w:tabs>
        <w:jc w:val="center"/>
        <w:rPr>
          <w:rFonts w:ascii="Arial" w:hAnsi="Arial" w:cs="Arial"/>
          <w:b/>
          <w:sz w:val="40"/>
          <w:szCs w:val="40"/>
        </w:rPr>
      </w:pPr>
      <w:bookmarkStart w:id="8" w:name="_Toc186621650"/>
      <w:r w:rsidRPr="006832A4">
        <w:br w:type="page"/>
      </w:r>
      <w:r w:rsidR="001248A3" w:rsidRPr="00A37AEF">
        <w:rPr>
          <w:rFonts w:ascii="Arial" w:hAnsi="Arial" w:cs="Arial"/>
          <w:b/>
          <w:sz w:val="40"/>
          <w:szCs w:val="40"/>
        </w:rPr>
        <w:lastRenderedPageBreak/>
        <w:t>Table</w:t>
      </w:r>
      <w:r w:rsidR="006559C8" w:rsidRPr="00A37AEF">
        <w:rPr>
          <w:rFonts w:ascii="Arial" w:hAnsi="Arial" w:cs="Arial"/>
          <w:b/>
          <w:sz w:val="40"/>
          <w:szCs w:val="40"/>
        </w:rPr>
        <w:t xml:space="preserve"> of Contents</w:t>
      </w:r>
      <w:bookmarkEnd w:id="8"/>
    </w:p>
    <w:p w:rsidR="005F7D49"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36822584" w:history="1">
        <w:r w:rsidR="005F7D49" w:rsidRPr="008B7C5E">
          <w:rPr>
            <w:rStyle w:val="Hyperlink"/>
            <w:noProof/>
          </w:rPr>
          <w:t>At-a-Glance Summary</w:t>
        </w:r>
        <w:r w:rsidR="005F7D49">
          <w:rPr>
            <w:noProof/>
            <w:webHidden/>
          </w:rPr>
          <w:tab/>
        </w:r>
        <w:r w:rsidR="005F7D49">
          <w:rPr>
            <w:noProof/>
            <w:webHidden/>
          </w:rPr>
          <w:fldChar w:fldCharType="begin"/>
        </w:r>
        <w:r w:rsidR="005F7D49">
          <w:rPr>
            <w:noProof/>
            <w:webHidden/>
          </w:rPr>
          <w:instrText xml:space="preserve"> PAGEREF _Toc436822584 \h </w:instrText>
        </w:r>
        <w:r w:rsidR="005F7D49">
          <w:rPr>
            <w:noProof/>
            <w:webHidden/>
          </w:rPr>
        </w:r>
        <w:r w:rsidR="005F7D49">
          <w:rPr>
            <w:noProof/>
            <w:webHidden/>
          </w:rPr>
          <w:fldChar w:fldCharType="separate"/>
        </w:r>
        <w:r w:rsidR="005F7D49">
          <w:rPr>
            <w:noProof/>
            <w:webHidden/>
          </w:rPr>
          <w:t>ii</w:t>
        </w:r>
        <w:r w:rsidR="005F7D49">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585" w:history="1">
        <w:r w:rsidRPr="008B7C5E">
          <w:rPr>
            <w:rStyle w:val="Hyperlink"/>
            <w:noProof/>
          </w:rPr>
          <w:t>Document Revision History</w:t>
        </w:r>
        <w:r>
          <w:rPr>
            <w:noProof/>
            <w:webHidden/>
          </w:rPr>
          <w:tab/>
        </w:r>
        <w:r>
          <w:rPr>
            <w:noProof/>
            <w:webHidden/>
          </w:rPr>
          <w:fldChar w:fldCharType="begin"/>
        </w:r>
        <w:r>
          <w:rPr>
            <w:noProof/>
            <w:webHidden/>
          </w:rPr>
          <w:instrText xml:space="preserve"> PAGEREF _Toc436822585 \h </w:instrText>
        </w:r>
        <w:r>
          <w:rPr>
            <w:noProof/>
            <w:webHidden/>
          </w:rPr>
        </w:r>
        <w:r>
          <w:rPr>
            <w:noProof/>
            <w:webHidden/>
          </w:rPr>
          <w:fldChar w:fldCharType="separate"/>
        </w:r>
        <w:r>
          <w:rPr>
            <w:noProof/>
            <w:webHidden/>
          </w:rPr>
          <w:t>iii</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586" w:history="1">
        <w:r w:rsidRPr="008B7C5E">
          <w:rPr>
            <w:rStyle w:val="Hyperlink"/>
            <w:noProof/>
          </w:rPr>
          <w:t>List of Tables</w:t>
        </w:r>
        <w:r>
          <w:rPr>
            <w:noProof/>
            <w:webHidden/>
          </w:rPr>
          <w:tab/>
        </w:r>
        <w:r>
          <w:rPr>
            <w:noProof/>
            <w:webHidden/>
          </w:rPr>
          <w:fldChar w:fldCharType="begin"/>
        </w:r>
        <w:r>
          <w:rPr>
            <w:noProof/>
            <w:webHidden/>
          </w:rPr>
          <w:instrText xml:space="preserve"> PAGEREF _Toc436822586 \h </w:instrText>
        </w:r>
        <w:r>
          <w:rPr>
            <w:noProof/>
            <w:webHidden/>
          </w:rPr>
        </w:r>
        <w:r>
          <w:rPr>
            <w:noProof/>
            <w:webHidden/>
          </w:rPr>
          <w:fldChar w:fldCharType="separate"/>
        </w:r>
        <w:r>
          <w:rPr>
            <w:noProof/>
            <w:webHidden/>
          </w:rPr>
          <w:t>iv</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587" w:history="1">
        <w:r w:rsidRPr="008B7C5E">
          <w:rPr>
            <w:rStyle w:val="Hyperlink"/>
            <w:noProof/>
          </w:rPr>
          <w:t>Section 1. General Measure &amp; Baseline Data</w:t>
        </w:r>
        <w:r>
          <w:rPr>
            <w:noProof/>
            <w:webHidden/>
          </w:rPr>
          <w:tab/>
        </w:r>
        <w:r>
          <w:rPr>
            <w:noProof/>
            <w:webHidden/>
          </w:rPr>
          <w:fldChar w:fldCharType="begin"/>
        </w:r>
        <w:r>
          <w:rPr>
            <w:noProof/>
            <w:webHidden/>
          </w:rPr>
          <w:instrText xml:space="preserve"> PAGEREF _Toc436822587 \h </w:instrText>
        </w:r>
        <w:r>
          <w:rPr>
            <w:noProof/>
            <w:webHidden/>
          </w:rPr>
        </w:r>
        <w:r>
          <w:rPr>
            <w:noProof/>
            <w:webHidden/>
          </w:rPr>
          <w:fldChar w:fldCharType="separate"/>
        </w:r>
        <w:r>
          <w:rPr>
            <w:noProof/>
            <w:webHidden/>
          </w:rPr>
          <w:t>1</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88" w:history="1">
        <w:r w:rsidRPr="008B7C5E">
          <w:rPr>
            <w:rStyle w:val="Hyperlink"/>
            <w:noProof/>
          </w:rPr>
          <w:t>1.1 Measure Description &amp; Background</w:t>
        </w:r>
        <w:r>
          <w:rPr>
            <w:noProof/>
            <w:webHidden/>
          </w:rPr>
          <w:tab/>
        </w:r>
        <w:r>
          <w:rPr>
            <w:noProof/>
            <w:webHidden/>
          </w:rPr>
          <w:fldChar w:fldCharType="begin"/>
        </w:r>
        <w:r>
          <w:rPr>
            <w:noProof/>
            <w:webHidden/>
          </w:rPr>
          <w:instrText xml:space="preserve"> PAGEREF _Toc436822588 \h </w:instrText>
        </w:r>
        <w:r>
          <w:rPr>
            <w:noProof/>
            <w:webHidden/>
          </w:rPr>
        </w:r>
        <w:r>
          <w:rPr>
            <w:noProof/>
            <w:webHidden/>
          </w:rPr>
          <w:fldChar w:fldCharType="separate"/>
        </w:r>
        <w:r>
          <w:rPr>
            <w:noProof/>
            <w:webHidden/>
          </w:rPr>
          <w:t>1</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89" w:history="1">
        <w:r w:rsidRPr="008B7C5E">
          <w:rPr>
            <w:rStyle w:val="Hyperlink"/>
            <w:noProof/>
          </w:rPr>
          <w:t>1.2 Product Technical Description</w:t>
        </w:r>
        <w:r>
          <w:rPr>
            <w:noProof/>
            <w:webHidden/>
          </w:rPr>
          <w:tab/>
        </w:r>
        <w:r>
          <w:rPr>
            <w:noProof/>
            <w:webHidden/>
          </w:rPr>
          <w:fldChar w:fldCharType="begin"/>
        </w:r>
        <w:r>
          <w:rPr>
            <w:noProof/>
            <w:webHidden/>
          </w:rPr>
          <w:instrText xml:space="preserve"> PAGEREF _Toc436822589 \h </w:instrText>
        </w:r>
        <w:r>
          <w:rPr>
            <w:noProof/>
            <w:webHidden/>
          </w:rPr>
        </w:r>
        <w:r>
          <w:rPr>
            <w:noProof/>
            <w:webHidden/>
          </w:rPr>
          <w:fldChar w:fldCharType="separate"/>
        </w:r>
        <w:r>
          <w:rPr>
            <w:noProof/>
            <w:webHidden/>
          </w:rPr>
          <w:t>1</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0" w:history="1">
        <w:r w:rsidRPr="008B7C5E">
          <w:rPr>
            <w:rStyle w:val="Hyperlink"/>
            <w:noProof/>
          </w:rPr>
          <w:t>1.3 Measure Application Type</w:t>
        </w:r>
        <w:r>
          <w:rPr>
            <w:noProof/>
            <w:webHidden/>
          </w:rPr>
          <w:tab/>
        </w:r>
        <w:r>
          <w:rPr>
            <w:noProof/>
            <w:webHidden/>
          </w:rPr>
          <w:fldChar w:fldCharType="begin"/>
        </w:r>
        <w:r>
          <w:rPr>
            <w:noProof/>
            <w:webHidden/>
          </w:rPr>
          <w:instrText xml:space="preserve"> PAGEREF _Toc436822590 \h </w:instrText>
        </w:r>
        <w:r>
          <w:rPr>
            <w:noProof/>
            <w:webHidden/>
          </w:rPr>
        </w:r>
        <w:r>
          <w:rPr>
            <w:noProof/>
            <w:webHidden/>
          </w:rPr>
          <w:fldChar w:fldCharType="separate"/>
        </w:r>
        <w:r>
          <w:rPr>
            <w:noProof/>
            <w:webHidden/>
          </w:rPr>
          <w:t>1</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1" w:history="1">
        <w:r w:rsidRPr="008B7C5E">
          <w:rPr>
            <w:rStyle w:val="Hyperlink"/>
            <w:noProof/>
          </w:rPr>
          <w:t>1.4 Product Base Case and Measure Case Data</w:t>
        </w:r>
        <w:r>
          <w:rPr>
            <w:noProof/>
            <w:webHidden/>
          </w:rPr>
          <w:tab/>
        </w:r>
        <w:r>
          <w:rPr>
            <w:noProof/>
            <w:webHidden/>
          </w:rPr>
          <w:fldChar w:fldCharType="begin"/>
        </w:r>
        <w:r>
          <w:rPr>
            <w:noProof/>
            <w:webHidden/>
          </w:rPr>
          <w:instrText xml:space="preserve"> PAGEREF _Toc436822591 \h </w:instrText>
        </w:r>
        <w:r>
          <w:rPr>
            <w:noProof/>
            <w:webHidden/>
          </w:rPr>
        </w:r>
        <w:r>
          <w:rPr>
            <w:noProof/>
            <w:webHidden/>
          </w:rPr>
          <w:fldChar w:fldCharType="separate"/>
        </w:r>
        <w:r>
          <w:rPr>
            <w:noProof/>
            <w:webHidden/>
          </w:rPr>
          <w:t>2</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2" w:history="1">
        <w:r w:rsidRPr="008B7C5E">
          <w:rPr>
            <w:rStyle w:val="Hyperlink"/>
            <w:noProof/>
          </w:rPr>
          <w:t>1.4.1 DEER Base Case and Measure Case Information</w:t>
        </w:r>
        <w:r>
          <w:rPr>
            <w:noProof/>
            <w:webHidden/>
          </w:rPr>
          <w:tab/>
        </w:r>
        <w:r>
          <w:rPr>
            <w:noProof/>
            <w:webHidden/>
          </w:rPr>
          <w:fldChar w:fldCharType="begin"/>
        </w:r>
        <w:r>
          <w:rPr>
            <w:noProof/>
            <w:webHidden/>
          </w:rPr>
          <w:instrText xml:space="preserve"> PAGEREF _Toc436822592 \h </w:instrText>
        </w:r>
        <w:r>
          <w:rPr>
            <w:noProof/>
            <w:webHidden/>
          </w:rPr>
        </w:r>
        <w:r>
          <w:rPr>
            <w:noProof/>
            <w:webHidden/>
          </w:rPr>
          <w:fldChar w:fldCharType="separate"/>
        </w:r>
        <w:r>
          <w:rPr>
            <w:noProof/>
            <w:webHidden/>
          </w:rPr>
          <w:t>2</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3" w:history="1">
        <w:r w:rsidRPr="008B7C5E">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_Toc436822593 \h </w:instrText>
        </w:r>
        <w:r>
          <w:rPr>
            <w:noProof/>
            <w:webHidden/>
          </w:rPr>
        </w:r>
        <w:r>
          <w:rPr>
            <w:noProof/>
            <w:webHidden/>
          </w:rPr>
          <w:fldChar w:fldCharType="separate"/>
        </w:r>
        <w:r>
          <w:rPr>
            <w:noProof/>
            <w:webHidden/>
          </w:rPr>
          <w:t>3</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4" w:history="1">
        <w:r w:rsidRPr="008B7C5E">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_Toc436822594 \h </w:instrText>
        </w:r>
        <w:r>
          <w:rPr>
            <w:noProof/>
            <w:webHidden/>
          </w:rPr>
        </w:r>
        <w:r>
          <w:rPr>
            <w:noProof/>
            <w:webHidden/>
          </w:rPr>
          <w:fldChar w:fldCharType="separate"/>
        </w:r>
        <w:r>
          <w:rPr>
            <w:noProof/>
            <w:webHidden/>
          </w:rPr>
          <w:t>3</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5" w:history="1">
        <w:r w:rsidRPr="008B7C5E">
          <w:rPr>
            <w:rStyle w:val="Hyperlink"/>
            <w:noProof/>
          </w:rPr>
          <w:t>1.4.4 Assumptions and Calculations from other sources Base and Measure Cases</w:t>
        </w:r>
        <w:r>
          <w:rPr>
            <w:noProof/>
            <w:webHidden/>
          </w:rPr>
          <w:tab/>
        </w:r>
        <w:r>
          <w:rPr>
            <w:noProof/>
            <w:webHidden/>
          </w:rPr>
          <w:fldChar w:fldCharType="begin"/>
        </w:r>
        <w:r>
          <w:rPr>
            <w:noProof/>
            <w:webHidden/>
          </w:rPr>
          <w:instrText xml:space="preserve"> PAGEREF _Toc436822595 \h </w:instrText>
        </w:r>
        <w:r>
          <w:rPr>
            <w:noProof/>
            <w:webHidden/>
          </w:rPr>
        </w:r>
        <w:r>
          <w:rPr>
            <w:noProof/>
            <w:webHidden/>
          </w:rPr>
          <w:fldChar w:fldCharType="separate"/>
        </w:r>
        <w:r>
          <w:rPr>
            <w:noProof/>
            <w:webHidden/>
          </w:rPr>
          <w:t>3</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596" w:history="1">
        <w:r w:rsidRPr="008B7C5E">
          <w:rPr>
            <w:rStyle w:val="Hyperlink"/>
            <w:noProof/>
          </w:rPr>
          <w:t>Section 2. Calculation Methods</w:t>
        </w:r>
        <w:r>
          <w:rPr>
            <w:noProof/>
            <w:webHidden/>
          </w:rPr>
          <w:tab/>
        </w:r>
        <w:r>
          <w:rPr>
            <w:noProof/>
            <w:webHidden/>
          </w:rPr>
          <w:fldChar w:fldCharType="begin"/>
        </w:r>
        <w:r>
          <w:rPr>
            <w:noProof/>
            <w:webHidden/>
          </w:rPr>
          <w:instrText xml:space="preserve"> PAGEREF _Toc436822596 \h </w:instrText>
        </w:r>
        <w:r>
          <w:rPr>
            <w:noProof/>
            <w:webHidden/>
          </w:rPr>
        </w:r>
        <w:r>
          <w:rPr>
            <w:noProof/>
            <w:webHidden/>
          </w:rPr>
          <w:fldChar w:fldCharType="separate"/>
        </w:r>
        <w:r>
          <w:rPr>
            <w:noProof/>
            <w:webHidden/>
          </w:rPr>
          <w:t>4</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7" w:history="1">
        <w:r w:rsidRPr="008B7C5E">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_Toc436822597 \h </w:instrText>
        </w:r>
        <w:r>
          <w:rPr>
            <w:noProof/>
            <w:webHidden/>
          </w:rPr>
        </w:r>
        <w:r>
          <w:rPr>
            <w:noProof/>
            <w:webHidden/>
          </w:rPr>
          <w:fldChar w:fldCharType="separate"/>
        </w:r>
        <w:r>
          <w:rPr>
            <w:noProof/>
            <w:webHidden/>
          </w:rPr>
          <w:t>4</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8" w:history="1">
        <w:r w:rsidRPr="008B7C5E">
          <w:rPr>
            <w:rStyle w:val="Hyperlink"/>
            <w:noProof/>
          </w:rPr>
          <w:t>2.2. Demand Reduction Estimation Methodologies</w:t>
        </w:r>
        <w:r>
          <w:rPr>
            <w:noProof/>
            <w:webHidden/>
          </w:rPr>
          <w:tab/>
        </w:r>
        <w:r>
          <w:rPr>
            <w:noProof/>
            <w:webHidden/>
          </w:rPr>
          <w:fldChar w:fldCharType="begin"/>
        </w:r>
        <w:r>
          <w:rPr>
            <w:noProof/>
            <w:webHidden/>
          </w:rPr>
          <w:instrText xml:space="preserve"> PAGEREF _Toc436822598 \h </w:instrText>
        </w:r>
        <w:r>
          <w:rPr>
            <w:noProof/>
            <w:webHidden/>
          </w:rPr>
        </w:r>
        <w:r>
          <w:rPr>
            <w:noProof/>
            <w:webHidden/>
          </w:rPr>
          <w:fldChar w:fldCharType="separate"/>
        </w:r>
        <w:r>
          <w:rPr>
            <w:noProof/>
            <w:webHidden/>
          </w:rPr>
          <w:t>4</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599" w:history="1">
        <w:r w:rsidRPr="008B7C5E">
          <w:rPr>
            <w:rStyle w:val="Hyperlink"/>
            <w:noProof/>
          </w:rPr>
          <w:t>2.3. Gas Impacts Estimation Methodologies</w:t>
        </w:r>
        <w:r>
          <w:rPr>
            <w:noProof/>
            <w:webHidden/>
          </w:rPr>
          <w:tab/>
        </w:r>
        <w:r>
          <w:rPr>
            <w:noProof/>
            <w:webHidden/>
          </w:rPr>
          <w:fldChar w:fldCharType="begin"/>
        </w:r>
        <w:r>
          <w:rPr>
            <w:noProof/>
            <w:webHidden/>
          </w:rPr>
          <w:instrText xml:space="preserve"> PAGEREF _Toc436822599 \h </w:instrText>
        </w:r>
        <w:r>
          <w:rPr>
            <w:noProof/>
            <w:webHidden/>
          </w:rPr>
        </w:r>
        <w:r>
          <w:rPr>
            <w:noProof/>
            <w:webHidden/>
          </w:rPr>
          <w:fldChar w:fldCharType="separate"/>
        </w:r>
        <w:r>
          <w:rPr>
            <w:noProof/>
            <w:webHidden/>
          </w:rPr>
          <w:t>5</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600" w:history="1">
        <w:r w:rsidRPr="008B7C5E">
          <w:rPr>
            <w:rStyle w:val="Hyperlink"/>
            <w:noProof/>
          </w:rPr>
          <w:t>Section 3. Load Shapes</w:t>
        </w:r>
        <w:r>
          <w:rPr>
            <w:noProof/>
            <w:webHidden/>
          </w:rPr>
          <w:tab/>
        </w:r>
        <w:r>
          <w:rPr>
            <w:noProof/>
            <w:webHidden/>
          </w:rPr>
          <w:fldChar w:fldCharType="begin"/>
        </w:r>
        <w:r>
          <w:rPr>
            <w:noProof/>
            <w:webHidden/>
          </w:rPr>
          <w:instrText xml:space="preserve"> PAGEREF _Toc436822600 \h </w:instrText>
        </w:r>
        <w:r>
          <w:rPr>
            <w:noProof/>
            <w:webHidden/>
          </w:rPr>
        </w:r>
        <w:r>
          <w:rPr>
            <w:noProof/>
            <w:webHidden/>
          </w:rPr>
          <w:fldChar w:fldCharType="separate"/>
        </w:r>
        <w:r>
          <w:rPr>
            <w:noProof/>
            <w:webHidden/>
          </w:rPr>
          <w:t>6</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601" w:history="1">
        <w:r w:rsidRPr="008B7C5E">
          <w:rPr>
            <w:rStyle w:val="Hyperlink"/>
            <w:noProof/>
          </w:rPr>
          <w:t>3.1 Base Case Load Shapes</w:t>
        </w:r>
        <w:r>
          <w:rPr>
            <w:noProof/>
            <w:webHidden/>
          </w:rPr>
          <w:tab/>
        </w:r>
        <w:r>
          <w:rPr>
            <w:noProof/>
            <w:webHidden/>
          </w:rPr>
          <w:fldChar w:fldCharType="begin"/>
        </w:r>
        <w:r>
          <w:rPr>
            <w:noProof/>
            <w:webHidden/>
          </w:rPr>
          <w:instrText xml:space="preserve"> PAGEREF _Toc436822601 \h </w:instrText>
        </w:r>
        <w:r>
          <w:rPr>
            <w:noProof/>
            <w:webHidden/>
          </w:rPr>
        </w:r>
        <w:r>
          <w:rPr>
            <w:noProof/>
            <w:webHidden/>
          </w:rPr>
          <w:fldChar w:fldCharType="separate"/>
        </w:r>
        <w:r>
          <w:rPr>
            <w:noProof/>
            <w:webHidden/>
          </w:rPr>
          <w:t>6</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602" w:history="1">
        <w:r w:rsidRPr="008B7C5E">
          <w:rPr>
            <w:rStyle w:val="Hyperlink"/>
            <w:noProof/>
          </w:rPr>
          <w:t>3.2 Measure Load Shapes</w:t>
        </w:r>
        <w:r>
          <w:rPr>
            <w:noProof/>
            <w:webHidden/>
          </w:rPr>
          <w:tab/>
        </w:r>
        <w:r>
          <w:rPr>
            <w:noProof/>
            <w:webHidden/>
          </w:rPr>
          <w:fldChar w:fldCharType="begin"/>
        </w:r>
        <w:r>
          <w:rPr>
            <w:noProof/>
            <w:webHidden/>
          </w:rPr>
          <w:instrText xml:space="preserve"> PAGEREF _Toc436822602 \h </w:instrText>
        </w:r>
        <w:r>
          <w:rPr>
            <w:noProof/>
            <w:webHidden/>
          </w:rPr>
        </w:r>
        <w:r>
          <w:rPr>
            <w:noProof/>
            <w:webHidden/>
          </w:rPr>
          <w:fldChar w:fldCharType="separate"/>
        </w:r>
        <w:r>
          <w:rPr>
            <w:noProof/>
            <w:webHidden/>
          </w:rPr>
          <w:t>6</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603" w:history="1">
        <w:r w:rsidRPr="008B7C5E">
          <w:rPr>
            <w:rStyle w:val="Hyperlink"/>
            <w:noProof/>
          </w:rPr>
          <w:t>Section 4. Base Case &amp; Measure Costs</w:t>
        </w:r>
        <w:r>
          <w:rPr>
            <w:noProof/>
            <w:webHidden/>
          </w:rPr>
          <w:tab/>
        </w:r>
        <w:r>
          <w:rPr>
            <w:noProof/>
            <w:webHidden/>
          </w:rPr>
          <w:fldChar w:fldCharType="begin"/>
        </w:r>
        <w:r>
          <w:rPr>
            <w:noProof/>
            <w:webHidden/>
          </w:rPr>
          <w:instrText xml:space="preserve"> PAGEREF _Toc436822603 \h </w:instrText>
        </w:r>
        <w:r>
          <w:rPr>
            <w:noProof/>
            <w:webHidden/>
          </w:rPr>
        </w:r>
        <w:r>
          <w:rPr>
            <w:noProof/>
            <w:webHidden/>
          </w:rPr>
          <w:fldChar w:fldCharType="separate"/>
        </w:r>
        <w:r>
          <w:rPr>
            <w:noProof/>
            <w:webHidden/>
          </w:rPr>
          <w:t>7</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604" w:history="1">
        <w:r w:rsidRPr="008B7C5E">
          <w:rPr>
            <w:rStyle w:val="Hyperlink"/>
            <w:noProof/>
          </w:rPr>
          <w:t>4.1 Base Cases Costs</w:t>
        </w:r>
        <w:r>
          <w:rPr>
            <w:noProof/>
            <w:webHidden/>
          </w:rPr>
          <w:tab/>
        </w:r>
        <w:r>
          <w:rPr>
            <w:noProof/>
            <w:webHidden/>
          </w:rPr>
          <w:fldChar w:fldCharType="begin"/>
        </w:r>
        <w:r>
          <w:rPr>
            <w:noProof/>
            <w:webHidden/>
          </w:rPr>
          <w:instrText xml:space="preserve"> PAGEREF _Toc436822604 \h </w:instrText>
        </w:r>
        <w:r>
          <w:rPr>
            <w:noProof/>
            <w:webHidden/>
          </w:rPr>
        </w:r>
        <w:r>
          <w:rPr>
            <w:noProof/>
            <w:webHidden/>
          </w:rPr>
          <w:fldChar w:fldCharType="separate"/>
        </w:r>
        <w:r>
          <w:rPr>
            <w:noProof/>
            <w:webHidden/>
          </w:rPr>
          <w:t>7</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605" w:history="1">
        <w:r w:rsidRPr="008B7C5E">
          <w:rPr>
            <w:rStyle w:val="Hyperlink"/>
            <w:noProof/>
          </w:rPr>
          <w:t>4.2 Measure Costs</w:t>
        </w:r>
        <w:r>
          <w:rPr>
            <w:noProof/>
            <w:webHidden/>
          </w:rPr>
          <w:tab/>
        </w:r>
        <w:r>
          <w:rPr>
            <w:noProof/>
            <w:webHidden/>
          </w:rPr>
          <w:fldChar w:fldCharType="begin"/>
        </w:r>
        <w:r>
          <w:rPr>
            <w:noProof/>
            <w:webHidden/>
          </w:rPr>
          <w:instrText xml:space="preserve"> PAGEREF _Toc436822605 \h </w:instrText>
        </w:r>
        <w:r>
          <w:rPr>
            <w:noProof/>
            <w:webHidden/>
          </w:rPr>
        </w:r>
        <w:r>
          <w:rPr>
            <w:noProof/>
            <w:webHidden/>
          </w:rPr>
          <w:fldChar w:fldCharType="separate"/>
        </w:r>
        <w:r>
          <w:rPr>
            <w:noProof/>
            <w:webHidden/>
          </w:rPr>
          <w:t>7</w:t>
        </w:r>
        <w:r>
          <w:rPr>
            <w:noProof/>
            <w:webHidden/>
          </w:rPr>
          <w:fldChar w:fldCharType="end"/>
        </w:r>
      </w:hyperlink>
    </w:p>
    <w:p w:rsidR="005F7D49" w:rsidRDefault="005F7D49">
      <w:pPr>
        <w:pStyle w:val="TOC2"/>
        <w:tabs>
          <w:tab w:val="right" w:leader="dot" w:pos="9350"/>
        </w:tabs>
        <w:rPr>
          <w:rFonts w:asciiTheme="minorHAnsi" w:eastAsiaTheme="minorEastAsia" w:hAnsiTheme="minorHAnsi" w:cstheme="minorBidi"/>
          <w:noProof/>
          <w:sz w:val="22"/>
          <w:szCs w:val="22"/>
        </w:rPr>
      </w:pPr>
      <w:hyperlink w:anchor="_Toc436822606" w:history="1">
        <w:r w:rsidRPr="008B7C5E">
          <w:rPr>
            <w:rStyle w:val="Hyperlink"/>
            <w:noProof/>
          </w:rPr>
          <w:t>4.3 Incremental &amp; Full Measure Costs</w:t>
        </w:r>
        <w:r>
          <w:rPr>
            <w:noProof/>
            <w:webHidden/>
          </w:rPr>
          <w:tab/>
        </w:r>
        <w:r>
          <w:rPr>
            <w:noProof/>
            <w:webHidden/>
          </w:rPr>
          <w:fldChar w:fldCharType="begin"/>
        </w:r>
        <w:r>
          <w:rPr>
            <w:noProof/>
            <w:webHidden/>
          </w:rPr>
          <w:instrText xml:space="preserve"> PAGEREF _Toc436822606 \h </w:instrText>
        </w:r>
        <w:r>
          <w:rPr>
            <w:noProof/>
            <w:webHidden/>
          </w:rPr>
        </w:r>
        <w:r>
          <w:rPr>
            <w:noProof/>
            <w:webHidden/>
          </w:rPr>
          <w:fldChar w:fldCharType="separate"/>
        </w:r>
        <w:r>
          <w:rPr>
            <w:noProof/>
            <w:webHidden/>
          </w:rPr>
          <w:t>8</w:t>
        </w:r>
        <w:r>
          <w:rPr>
            <w:noProof/>
            <w:webHidden/>
          </w:rPr>
          <w:fldChar w:fldCharType="end"/>
        </w:r>
      </w:hyperlink>
    </w:p>
    <w:p w:rsidR="005F7D49" w:rsidRDefault="005F7D49">
      <w:pPr>
        <w:pStyle w:val="TOC1"/>
        <w:tabs>
          <w:tab w:val="right" w:leader="dot" w:pos="9350"/>
        </w:tabs>
        <w:rPr>
          <w:rFonts w:asciiTheme="minorHAnsi" w:eastAsiaTheme="minorEastAsia" w:hAnsiTheme="minorHAnsi" w:cstheme="minorBidi"/>
          <w:noProof/>
          <w:sz w:val="22"/>
          <w:szCs w:val="22"/>
        </w:rPr>
      </w:pPr>
      <w:hyperlink w:anchor="_Toc436822607" w:history="1">
        <w:r w:rsidRPr="008B7C5E">
          <w:rPr>
            <w:rStyle w:val="Hyperlink"/>
            <w:noProof/>
          </w:rPr>
          <w:t>References</w:t>
        </w:r>
        <w:r>
          <w:rPr>
            <w:noProof/>
            <w:webHidden/>
          </w:rPr>
          <w:tab/>
        </w:r>
        <w:r>
          <w:rPr>
            <w:noProof/>
            <w:webHidden/>
          </w:rPr>
          <w:fldChar w:fldCharType="begin"/>
        </w:r>
        <w:r>
          <w:rPr>
            <w:noProof/>
            <w:webHidden/>
          </w:rPr>
          <w:instrText xml:space="preserve"> PAGEREF _Toc436822607 \h </w:instrText>
        </w:r>
        <w:r>
          <w:rPr>
            <w:noProof/>
            <w:webHidden/>
          </w:rPr>
        </w:r>
        <w:r>
          <w:rPr>
            <w:noProof/>
            <w:webHidden/>
          </w:rPr>
          <w:fldChar w:fldCharType="separate"/>
        </w:r>
        <w:r>
          <w:rPr>
            <w:noProof/>
            <w:webHidden/>
          </w:rPr>
          <w:t>9</w:t>
        </w:r>
        <w:r>
          <w:rPr>
            <w:noProof/>
            <w:webHidden/>
          </w:rPr>
          <w:fldChar w:fldCharType="end"/>
        </w:r>
      </w:hyperlink>
    </w:p>
    <w:p w:rsidR="00ED21EE" w:rsidRDefault="009F6F8B" w:rsidP="00ED21EE">
      <w:pPr>
        <w:pStyle w:val="Heading1"/>
      </w:pPr>
      <w:r>
        <w:rPr>
          <w:rFonts w:ascii="Times New Roman" w:hAnsi="Times New Roman" w:cs="Times New Roman"/>
          <w:b w:val="0"/>
          <w:bCs w:val="0"/>
          <w:kern w:val="0"/>
          <w:sz w:val="24"/>
          <w:szCs w:val="24"/>
        </w:rPr>
        <w:fldChar w:fldCharType="end"/>
      </w:r>
      <w:bookmarkStart w:id="9" w:name="_Toc172205729"/>
      <w:bookmarkStart w:id="10" w:name="_Toc436822586"/>
      <w:r w:rsidR="00ED21EE">
        <w:t>List of Tables</w:t>
      </w:r>
      <w:bookmarkEnd w:id="9"/>
      <w:bookmarkEnd w:id="10"/>
    </w:p>
    <w:p w:rsidR="005F7D49" w:rsidRDefault="00ED21EE">
      <w:pPr>
        <w:pStyle w:val="TableofFigures"/>
        <w:tabs>
          <w:tab w:val="right" w:leader="dot" w:pos="9350"/>
        </w:tabs>
        <w:rPr>
          <w:rFonts w:asciiTheme="minorHAnsi" w:eastAsiaTheme="minorEastAsia" w:hAnsiTheme="minorHAnsi" w:cstheme="minorBidi"/>
          <w:noProof/>
          <w:sz w:val="22"/>
          <w:szCs w:val="22"/>
        </w:rPr>
      </w:pPr>
      <w:r w:rsidRPr="00C552E3">
        <w:rPr>
          <w:rFonts w:ascii="Arial" w:hAnsi="Arial" w:cs="Arial"/>
          <w:sz w:val="20"/>
          <w:szCs w:val="20"/>
        </w:rPr>
        <w:fldChar w:fldCharType="begin"/>
      </w:r>
      <w:r w:rsidRPr="00C552E3">
        <w:rPr>
          <w:rFonts w:ascii="Arial" w:hAnsi="Arial" w:cs="Arial"/>
          <w:sz w:val="20"/>
          <w:szCs w:val="20"/>
        </w:rPr>
        <w:instrText xml:space="preserve"> TOC \h \z \c "Table" </w:instrText>
      </w:r>
      <w:r w:rsidRPr="00C552E3">
        <w:rPr>
          <w:rFonts w:ascii="Arial" w:hAnsi="Arial" w:cs="Arial"/>
          <w:sz w:val="20"/>
          <w:szCs w:val="20"/>
        </w:rPr>
        <w:fldChar w:fldCharType="separate"/>
      </w:r>
      <w:hyperlink w:anchor="_Toc436822579" w:history="1">
        <w:r w:rsidR="005F7D49" w:rsidRPr="00361C53">
          <w:rPr>
            <w:rStyle w:val="Hyperlink"/>
            <w:noProof/>
          </w:rPr>
          <w:t>Table 1 Measure Application Type</w:t>
        </w:r>
        <w:r w:rsidR="005F7D49">
          <w:rPr>
            <w:noProof/>
            <w:webHidden/>
          </w:rPr>
          <w:tab/>
        </w:r>
        <w:r w:rsidR="005F7D49">
          <w:rPr>
            <w:noProof/>
            <w:webHidden/>
          </w:rPr>
          <w:fldChar w:fldCharType="begin"/>
        </w:r>
        <w:r w:rsidR="005F7D49">
          <w:rPr>
            <w:noProof/>
            <w:webHidden/>
          </w:rPr>
          <w:instrText xml:space="preserve"> PAGEREF _Toc436822579 \h </w:instrText>
        </w:r>
        <w:r w:rsidR="005F7D49">
          <w:rPr>
            <w:noProof/>
            <w:webHidden/>
          </w:rPr>
        </w:r>
        <w:r w:rsidR="005F7D49">
          <w:rPr>
            <w:noProof/>
            <w:webHidden/>
          </w:rPr>
          <w:fldChar w:fldCharType="separate"/>
        </w:r>
        <w:r w:rsidR="005F7D49">
          <w:rPr>
            <w:noProof/>
            <w:webHidden/>
          </w:rPr>
          <w:t>1</w:t>
        </w:r>
        <w:r w:rsidR="005F7D49">
          <w:rPr>
            <w:noProof/>
            <w:webHidden/>
          </w:rPr>
          <w:fldChar w:fldCharType="end"/>
        </w:r>
      </w:hyperlink>
    </w:p>
    <w:p w:rsidR="005F7D49" w:rsidRDefault="005F7D49">
      <w:pPr>
        <w:pStyle w:val="TableofFigures"/>
        <w:tabs>
          <w:tab w:val="right" w:leader="dot" w:pos="9350"/>
        </w:tabs>
        <w:rPr>
          <w:rFonts w:asciiTheme="minorHAnsi" w:eastAsiaTheme="minorEastAsia" w:hAnsiTheme="minorHAnsi" w:cstheme="minorBidi"/>
          <w:noProof/>
          <w:sz w:val="22"/>
          <w:szCs w:val="22"/>
        </w:rPr>
      </w:pPr>
      <w:hyperlink w:anchor="_Toc436822580" w:history="1">
        <w:r w:rsidRPr="00361C53">
          <w:rPr>
            <w:rStyle w:val="Hyperlink"/>
            <w:noProof/>
          </w:rPr>
          <w:t>Table 2. Net-to-Gross</w:t>
        </w:r>
        <w:r>
          <w:rPr>
            <w:noProof/>
            <w:webHidden/>
          </w:rPr>
          <w:tab/>
        </w:r>
        <w:r>
          <w:rPr>
            <w:noProof/>
            <w:webHidden/>
          </w:rPr>
          <w:fldChar w:fldCharType="begin"/>
        </w:r>
        <w:r>
          <w:rPr>
            <w:noProof/>
            <w:webHidden/>
          </w:rPr>
          <w:instrText xml:space="preserve"> PAGEREF _Toc436822580 \h </w:instrText>
        </w:r>
        <w:r>
          <w:rPr>
            <w:noProof/>
            <w:webHidden/>
          </w:rPr>
        </w:r>
        <w:r>
          <w:rPr>
            <w:noProof/>
            <w:webHidden/>
          </w:rPr>
          <w:fldChar w:fldCharType="separate"/>
        </w:r>
        <w:r>
          <w:rPr>
            <w:noProof/>
            <w:webHidden/>
          </w:rPr>
          <w:t>2</w:t>
        </w:r>
        <w:r>
          <w:rPr>
            <w:noProof/>
            <w:webHidden/>
          </w:rPr>
          <w:fldChar w:fldCharType="end"/>
        </w:r>
      </w:hyperlink>
    </w:p>
    <w:p w:rsidR="005F7D49" w:rsidRDefault="005F7D49">
      <w:pPr>
        <w:pStyle w:val="TableofFigures"/>
        <w:tabs>
          <w:tab w:val="right" w:leader="dot" w:pos="9350"/>
        </w:tabs>
        <w:rPr>
          <w:rFonts w:asciiTheme="minorHAnsi" w:eastAsiaTheme="minorEastAsia" w:hAnsiTheme="minorHAnsi" w:cstheme="minorBidi"/>
          <w:noProof/>
          <w:sz w:val="22"/>
          <w:szCs w:val="22"/>
        </w:rPr>
      </w:pPr>
      <w:hyperlink w:anchor="_Toc436822581" w:history="1">
        <w:r w:rsidRPr="00361C53">
          <w:rPr>
            <w:rStyle w:val="Hyperlink"/>
            <w:noProof/>
          </w:rPr>
          <w:t>Table 3 Installation Rate</w:t>
        </w:r>
        <w:r>
          <w:rPr>
            <w:noProof/>
            <w:webHidden/>
          </w:rPr>
          <w:tab/>
        </w:r>
        <w:r>
          <w:rPr>
            <w:noProof/>
            <w:webHidden/>
          </w:rPr>
          <w:fldChar w:fldCharType="begin"/>
        </w:r>
        <w:r>
          <w:rPr>
            <w:noProof/>
            <w:webHidden/>
          </w:rPr>
          <w:instrText xml:space="preserve"> PAGEREF _Toc436822581 \h </w:instrText>
        </w:r>
        <w:r>
          <w:rPr>
            <w:noProof/>
            <w:webHidden/>
          </w:rPr>
        </w:r>
        <w:r>
          <w:rPr>
            <w:noProof/>
            <w:webHidden/>
          </w:rPr>
          <w:fldChar w:fldCharType="separate"/>
        </w:r>
        <w:r>
          <w:rPr>
            <w:noProof/>
            <w:webHidden/>
          </w:rPr>
          <w:t>2</w:t>
        </w:r>
        <w:r>
          <w:rPr>
            <w:noProof/>
            <w:webHidden/>
          </w:rPr>
          <w:fldChar w:fldCharType="end"/>
        </w:r>
      </w:hyperlink>
    </w:p>
    <w:p w:rsidR="005F7D49" w:rsidRDefault="005F7D49">
      <w:pPr>
        <w:pStyle w:val="TableofFigures"/>
        <w:tabs>
          <w:tab w:val="right" w:leader="dot" w:pos="9350"/>
        </w:tabs>
        <w:rPr>
          <w:rFonts w:asciiTheme="minorHAnsi" w:eastAsiaTheme="minorEastAsia" w:hAnsiTheme="minorHAnsi" w:cstheme="minorBidi"/>
          <w:noProof/>
          <w:sz w:val="22"/>
          <w:szCs w:val="22"/>
        </w:rPr>
      </w:pPr>
      <w:hyperlink w:anchor="_Toc436822582" w:history="1">
        <w:r w:rsidRPr="00361C53">
          <w:rPr>
            <w:rStyle w:val="Hyperlink"/>
            <w:noProof/>
          </w:rPr>
          <w:t>Table 4 Effective Useful Life</w:t>
        </w:r>
        <w:r>
          <w:rPr>
            <w:noProof/>
            <w:webHidden/>
          </w:rPr>
          <w:tab/>
        </w:r>
        <w:r>
          <w:rPr>
            <w:noProof/>
            <w:webHidden/>
          </w:rPr>
          <w:fldChar w:fldCharType="begin"/>
        </w:r>
        <w:r>
          <w:rPr>
            <w:noProof/>
            <w:webHidden/>
          </w:rPr>
          <w:instrText xml:space="preserve"> PAGEREF _Toc436822582 \h </w:instrText>
        </w:r>
        <w:r>
          <w:rPr>
            <w:noProof/>
            <w:webHidden/>
          </w:rPr>
        </w:r>
        <w:r>
          <w:rPr>
            <w:noProof/>
            <w:webHidden/>
          </w:rPr>
          <w:fldChar w:fldCharType="separate"/>
        </w:r>
        <w:r>
          <w:rPr>
            <w:noProof/>
            <w:webHidden/>
          </w:rPr>
          <w:t>3</w:t>
        </w:r>
        <w:r>
          <w:rPr>
            <w:noProof/>
            <w:webHidden/>
          </w:rPr>
          <w:fldChar w:fldCharType="end"/>
        </w:r>
      </w:hyperlink>
    </w:p>
    <w:p w:rsidR="005F7D49" w:rsidRDefault="005F7D49">
      <w:pPr>
        <w:pStyle w:val="TableofFigures"/>
        <w:tabs>
          <w:tab w:val="right" w:leader="dot" w:pos="9350"/>
        </w:tabs>
        <w:rPr>
          <w:rFonts w:asciiTheme="minorHAnsi" w:eastAsiaTheme="minorEastAsia" w:hAnsiTheme="minorHAnsi" w:cstheme="minorBidi"/>
          <w:noProof/>
          <w:sz w:val="22"/>
          <w:szCs w:val="22"/>
        </w:rPr>
      </w:pPr>
      <w:hyperlink w:anchor="_Toc436822583" w:history="1">
        <w:r w:rsidRPr="00361C53">
          <w:rPr>
            <w:rStyle w:val="Hyperlink"/>
            <w:noProof/>
          </w:rPr>
          <w:t>Table 5 Building Types and Load Shapes</w:t>
        </w:r>
        <w:r>
          <w:rPr>
            <w:noProof/>
            <w:webHidden/>
          </w:rPr>
          <w:tab/>
        </w:r>
        <w:r>
          <w:rPr>
            <w:noProof/>
            <w:webHidden/>
          </w:rPr>
          <w:fldChar w:fldCharType="begin"/>
        </w:r>
        <w:r>
          <w:rPr>
            <w:noProof/>
            <w:webHidden/>
          </w:rPr>
          <w:instrText xml:space="preserve"> PAGEREF _Toc436822583 \h </w:instrText>
        </w:r>
        <w:r>
          <w:rPr>
            <w:noProof/>
            <w:webHidden/>
          </w:rPr>
        </w:r>
        <w:r>
          <w:rPr>
            <w:noProof/>
            <w:webHidden/>
          </w:rPr>
          <w:fldChar w:fldCharType="separate"/>
        </w:r>
        <w:r>
          <w:rPr>
            <w:noProof/>
            <w:webHidden/>
          </w:rPr>
          <w:t>6</w:t>
        </w:r>
        <w:r>
          <w:rPr>
            <w:noProof/>
            <w:webHidden/>
          </w:rPr>
          <w:fldChar w:fldCharType="end"/>
        </w:r>
      </w:hyperlink>
    </w:p>
    <w:p w:rsidR="005A1F9D" w:rsidRDefault="00ED21EE" w:rsidP="005A1F9D">
      <w:r w:rsidRPr="00C552E3">
        <w:rPr>
          <w:rFonts w:ascii="Arial" w:hAnsi="Arial" w:cs="Arial"/>
          <w:sz w:val="20"/>
          <w:szCs w:val="20"/>
        </w:rPr>
        <w:fldChar w:fldCharType="end"/>
      </w:r>
      <w:r w:rsidR="005A1F9D" w:rsidRPr="005A1F9D">
        <w:t xml:space="preserve"> </w:t>
      </w:r>
    </w:p>
    <w:p w:rsidR="00A87324" w:rsidRPr="00A87324" w:rsidRDefault="00A87324" w:rsidP="00A87324">
      <w:pPr>
        <w:sectPr w:rsidR="00A87324" w:rsidRPr="00A87324" w:rsidSect="00CE24C7">
          <w:headerReference w:type="even" r:id="rId22"/>
          <w:headerReference w:type="default" r:id="rId23"/>
          <w:footerReference w:type="even" r:id="rId24"/>
          <w:headerReference w:type="first" r:id="rId25"/>
          <w:footerReference w:type="first" r:id="rId26"/>
          <w:endnotePr>
            <w:numFmt w:val="decimal"/>
          </w:endnotePr>
          <w:pgSz w:w="12240" w:h="15840"/>
          <w:pgMar w:top="1440" w:right="1440" w:bottom="1440" w:left="1440" w:header="720" w:footer="720" w:gutter="0"/>
          <w:pgNumType w:fmt="lowerRoman"/>
          <w:cols w:space="720"/>
          <w:docGrid w:linePitch="360"/>
        </w:sectPr>
      </w:pPr>
    </w:p>
    <w:p w:rsidR="00C552E3" w:rsidRDefault="00C552E3" w:rsidP="00B70B1C">
      <w:pPr>
        <w:pStyle w:val="Heading1"/>
        <w:sectPr w:rsidR="00C552E3" w:rsidSect="00674726">
          <w:endnotePr>
            <w:numFmt w:val="decimal"/>
          </w:endnotePr>
          <w:type w:val="continuous"/>
          <w:pgSz w:w="12240" w:h="15840"/>
          <w:pgMar w:top="1440" w:right="1440" w:bottom="1440" w:left="1440" w:header="720" w:footer="720" w:gutter="0"/>
          <w:pgNumType w:chapStyle="1"/>
          <w:cols w:space="720"/>
          <w:docGrid w:linePitch="360"/>
        </w:sectPr>
      </w:pPr>
      <w:bookmarkStart w:id="11" w:name="_Toc191278366"/>
      <w:bookmarkStart w:id="12" w:name="_Toc172205732"/>
    </w:p>
    <w:p w:rsidR="00B70B1C" w:rsidRDefault="00B70B1C" w:rsidP="00B70B1C">
      <w:pPr>
        <w:pStyle w:val="Heading1"/>
      </w:pPr>
      <w:bookmarkStart w:id="13" w:name="_Toc436822587"/>
      <w:proofErr w:type="gramStart"/>
      <w:r>
        <w:lastRenderedPageBreak/>
        <w:t>Section 1.</w:t>
      </w:r>
      <w:proofErr w:type="gramEnd"/>
      <w:r>
        <w:t xml:space="preserve"> General Measure &amp; Baseline Data</w:t>
      </w:r>
      <w:bookmarkEnd w:id="11"/>
      <w:bookmarkEnd w:id="13"/>
    </w:p>
    <w:p w:rsidR="00B70B1C" w:rsidRDefault="00B70B1C" w:rsidP="00B70B1C">
      <w:pPr>
        <w:pStyle w:val="Heading2"/>
      </w:pPr>
      <w:bookmarkStart w:id="14" w:name="_Toc191278367"/>
      <w:bookmarkStart w:id="15" w:name="_Toc436822588"/>
      <w:r>
        <w:t xml:space="preserve">1.1 </w:t>
      </w:r>
      <w:r w:rsidRPr="001248A3">
        <w:t>Measure Description &amp; Background</w:t>
      </w:r>
      <w:bookmarkEnd w:id="14"/>
      <w:bookmarkEnd w:id="15"/>
    </w:p>
    <w:p w:rsidR="00B70B1C" w:rsidRDefault="00B70B1C" w:rsidP="00B70B1C">
      <w:pPr>
        <w:autoSpaceDE w:val="0"/>
        <w:autoSpaceDN w:val="0"/>
        <w:adjustRightInd w:val="0"/>
      </w:pPr>
      <w:r w:rsidRPr="00521920">
        <w:rPr>
          <w:rFonts w:ascii="Arial" w:hAnsi="Arial" w:cs="Arial"/>
          <w:b/>
          <w:i/>
        </w:rPr>
        <w:t>Catalog Description</w:t>
      </w:r>
      <w:r>
        <w:rPr>
          <w:rFonts w:ascii="Arial" w:hAnsi="Arial" w:cs="Arial"/>
          <w:b/>
          <w:i/>
        </w:rPr>
        <w:t xml:space="preserve"> –</w:t>
      </w:r>
      <w:r w:rsidRPr="000242A5">
        <w:rPr>
          <w:rFonts w:ascii="Arial" w:hAnsi="Arial" w:cs="Arial"/>
          <w:b/>
        </w:rPr>
        <w:t xml:space="preserve"> </w:t>
      </w:r>
      <w:r w:rsidRPr="00B70B1C">
        <w:t xml:space="preserve">Must replace an existing hardwired incandescent fixture that is rated greater than or equal to 100 Watts.  </w:t>
      </w:r>
      <w:r w:rsidR="00C552E3">
        <w:t xml:space="preserve">An </w:t>
      </w:r>
      <w:r w:rsidRPr="00B70B1C">
        <w:t xml:space="preserve">ENERGY STAR CFL must be included in fixture and is </w:t>
      </w:r>
      <w:r w:rsidRPr="00C552E3">
        <w:rPr>
          <w:u w:val="single"/>
        </w:rPr>
        <w:t>not eligible</w:t>
      </w:r>
      <w:r w:rsidRPr="00B70B1C">
        <w:t xml:space="preserve"> for additional rebate.  </w:t>
      </w:r>
    </w:p>
    <w:p w:rsidR="008A050B" w:rsidRPr="00B70B1C" w:rsidRDefault="008A050B" w:rsidP="00B70B1C">
      <w:pPr>
        <w:autoSpaceDE w:val="0"/>
        <w:autoSpaceDN w:val="0"/>
        <w:adjustRightInd w:val="0"/>
      </w:pPr>
    </w:p>
    <w:p w:rsidR="00B70B1C" w:rsidRDefault="00B70B1C" w:rsidP="00B70B1C">
      <w:pPr>
        <w:rPr>
          <w:rFonts w:ascii="Arial" w:hAnsi="Arial" w:cs="Arial"/>
          <w:b/>
          <w:i/>
        </w:rPr>
      </w:pPr>
      <w:r>
        <w:rPr>
          <w:rFonts w:ascii="Arial" w:hAnsi="Arial" w:cs="Arial"/>
          <w:b/>
          <w:i/>
        </w:rPr>
        <w:t>Program Restrictions and Guidelines</w:t>
      </w:r>
    </w:p>
    <w:p w:rsidR="005518EE" w:rsidRPr="00397710" w:rsidRDefault="005518EE" w:rsidP="00B70B1C">
      <w:pPr>
        <w:rPr>
          <w:sz w:val="20"/>
          <w:szCs w:val="20"/>
        </w:rPr>
      </w:pPr>
      <w:r w:rsidRPr="00397710">
        <w:rPr>
          <w:szCs w:val="20"/>
        </w:rPr>
        <w:t>Closets and storage spaces do not qualify for rebate.</w:t>
      </w:r>
    </w:p>
    <w:p w:rsidR="005518EE" w:rsidRDefault="005518EE" w:rsidP="00B70B1C">
      <w:pPr>
        <w:rPr>
          <w:rFonts w:ascii="Arial" w:hAnsi="Arial" w:cs="Arial"/>
          <w:b/>
          <w:i/>
        </w:rPr>
      </w:pPr>
    </w:p>
    <w:p w:rsidR="005518EE" w:rsidRDefault="00B70B1C" w:rsidP="008A050B">
      <w:pPr>
        <w:autoSpaceDE w:val="0"/>
        <w:autoSpaceDN w:val="0"/>
        <w:adjustRightInd w:val="0"/>
        <w:rPr>
          <w:rFonts w:ascii="Arial" w:hAnsi="Arial" w:cs="Arial"/>
          <w:b/>
          <w:i/>
          <w:sz w:val="20"/>
          <w:szCs w:val="20"/>
        </w:rPr>
      </w:pPr>
      <w:r w:rsidRPr="00521920">
        <w:rPr>
          <w:rFonts w:ascii="Arial" w:hAnsi="Arial" w:cs="Arial"/>
          <w:b/>
          <w:i/>
          <w:sz w:val="20"/>
          <w:szCs w:val="20"/>
        </w:rPr>
        <w:t>Terms and Conditions</w:t>
      </w:r>
      <w:r>
        <w:rPr>
          <w:rFonts w:ascii="Arial" w:hAnsi="Arial" w:cs="Arial"/>
          <w:b/>
          <w:i/>
          <w:sz w:val="20"/>
          <w:szCs w:val="20"/>
        </w:rPr>
        <w:t xml:space="preserve">: </w:t>
      </w:r>
    </w:p>
    <w:p w:rsidR="008A050B" w:rsidRPr="00397710" w:rsidRDefault="005518EE" w:rsidP="008A050B">
      <w:pPr>
        <w:autoSpaceDE w:val="0"/>
        <w:autoSpaceDN w:val="0"/>
        <w:adjustRightInd w:val="0"/>
        <w:rPr>
          <w:szCs w:val="20"/>
        </w:rPr>
      </w:pPr>
      <w:r w:rsidRPr="00397710">
        <w:rPr>
          <w:szCs w:val="20"/>
        </w:rPr>
        <w:t>The customer must be a Multifamily PG&amp;E electric customer.  Single family installations are not eligible.</w:t>
      </w:r>
    </w:p>
    <w:p w:rsidR="005518EE" w:rsidRDefault="005518EE" w:rsidP="008A050B">
      <w:pPr>
        <w:autoSpaceDE w:val="0"/>
        <w:autoSpaceDN w:val="0"/>
        <w:adjustRightInd w:val="0"/>
        <w:rPr>
          <w:rFonts w:ascii="Arial" w:hAnsi="Arial" w:cs="Arial"/>
          <w:b/>
          <w:i/>
          <w:sz w:val="20"/>
          <w:szCs w:val="20"/>
        </w:rPr>
      </w:pPr>
    </w:p>
    <w:p w:rsidR="005518EE" w:rsidRDefault="00B70B1C" w:rsidP="008A050B">
      <w:pPr>
        <w:autoSpaceDE w:val="0"/>
        <w:autoSpaceDN w:val="0"/>
        <w:adjustRightInd w:val="0"/>
        <w:rPr>
          <w:rFonts w:ascii="Arial" w:hAnsi="Arial" w:cs="Arial"/>
          <w:b/>
          <w:i/>
          <w:sz w:val="20"/>
          <w:szCs w:val="20"/>
        </w:rPr>
      </w:pPr>
      <w:r>
        <w:rPr>
          <w:rFonts w:ascii="Arial" w:hAnsi="Arial" w:cs="Arial"/>
          <w:b/>
          <w:i/>
          <w:sz w:val="20"/>
          <w:szCs w:val="20"/>
        </w:rPr>
        <w:t xml:space="preserve">Market Applicability: </w:t>
      </w:r>
    </w:p>
    <w:p w:rsidR="00B70B1C" w:rsidRPr="00747323" w:rsidRDefault="005518EE" w:rsidP="008A050B">
      <w:pPr>
        <w:autoSpaceDE w:val="0"/>
        <w:autoSpaceDN w:val="0"/>
        <w:adjustRightInd w:val="0"/>
        <w:rPr>
          <w:rFonts w:ascii="Arial" w:hAnsi="Arial" w:cs="Arial"/>
          <w:b/>
          <w:i/>
          <w:sz w:val="20"/>
          <w:szCs w:val="20"/>
        </w:rPr>
      </w:pPr>
      <w:r>
        <w:t xml:space="preserve">This measure </w:t>
      </w:r>
      <w:r w:rsidR="00B70B1C">
        <w:t xml:space="preserve">applies to multifamily residences </w:t>
      </w:r>
      <w:r>
        <w:t xml:space="preserve">for </w:t>
      </w:r>
      <w:r w:rsidR="00C552E3">
        <w:t>“</w:t>
      </w:r>
      <w:r>
        <w:t>in unit</w:t>
      </w:r>
      <w:r w:rsidR="00C552E3">
        <w:t>”</w:t>
      </w:r>
      <w:r>
        <w:t xml:space="preserve"> and interior common areas</w:t>
      </w:r>
      <w:r w:rsidR="00C552E3" w:rsidRPr="00C552E3">
        <w:t xml:space="preserve"> </w:t>
      </w:r>
      <w:r w:rsidR="00C552E3">
        <w:t>only</w:t>
      </w:r>
      <w:r w:rsidR="00B70B1C">
        <w:t>.</w:t>
      </w:r>
      <w:r w:rsidR="00C552E3">
        <w:t xml:space="preserve"> This is a downstream rebate program providing a customer rebate upon receipt of proper application and supporting paperwork.</w:t>
      </w:r>
    </w:p>
    <w:p w:rsidR="008A050B" w:rsidRDefault="008A050B" w:rsidP="00B70B1C">
      <w:pPr>
        <w:rPr>
          <w:rFonts w:ascii="Arial" w:hAnsi="Arial" w:cs="Arial"/>
          <w:sz w:val="20"/>
          <w:szCs w:val="20"/>
        </w:rPr>
      </w:pPr>
    </w:p>
    <w:p w:rsidR="008A050B" w:rsidRDefault="008A050B" w:rsidP="008A050B">
      <w:pPr>
        <w:pStyle w:val="Heading2"/>
      </w:pPr>
      <w:bookmarkStart w:id="16" w:name="_Toc388008203"/>
      <w:bookmarkStart w:id="17" w:name="_Toc436822589"/>
      <w:r>
        <w:t>1.2</w:t>
      </w:r>
      <w:bookmarkStart w:id="18" w:name="_Toc387827815"/>
      <w:r>
        <w:t xml:space="preserve"> Product Technical Description</w:t>
      </w:r>
      <w:bookmarkEnd w:id="16"/>
      <w:bookmarkEnd w:id="18"/>
      <w:bookmarkEnd w:id="17"/>
    </w:p>
    <w:p w:rsidR="008A050B" w:rsidRDefault="00C552E3" w:rsidP="008A050B">
      <w:pPr>
        <w:rPr>
          <w:rFonts w:ascii="Arial" w:hAnsi="Arial" w:cs="Arial"/>
          <w:sz w:val="20"/>
          <w:szCs w:val="20"/>
        </w:rPr>
      </w:pPr>
      <w:r>
        <w:t>Hardwired c</w:t>
      </w:r>
      <w:r w:rsidR="008A050B" w:rsidRPr="00C54415">
        <w:t xml:space="preserve">ompact fluorescent </w:t>
      </w:r>
      <w:r>
        <w:t>lamp fixtures</w:t>
      </w:r>
      <w:r w:rsidR="008A050B" w:rsidRPr="00C54415">
        <w:t xml:space="preserve"> providing similar illumination levels as incandescent lamp</w:t>
      </w:r>
      <w:r>
        <w:t xml:space="preserve"> fixture</w:t>
      </w:r>
      <w:r w:rsidR="008A050B" w:rsidRPr="00C54415">
        <w:t>s, but at lower wattages</w:t>
      </w:r>
      <w:r w:rsidR="008A050B">
        <w:t>,</w:t>
      </w:r>
      <w:r w:rsidR="008A050B" w:rsidRPr="00C54415">
        <w:t xml:space="preserve"> will replace </w:t>
      </w:r>
      <w:r>
        <w:t xml:space="preserve">the </w:t>
      </w:r>
      <w:r w:rsidR="008A050B" w:rsidRPr="00C54415">
        <w:t>incandescent lamps in hardwired fixtures for multifamily units</w:t>
      </w:r>
      <w:r>
        <w:t xml:space="preserve"> and interior common areas</w:t>
      </w:r>
      <w:r w:rsidR="008A050B" w:rsidRPr="00C54415">
        <w:t xml:space="preserve">.  </w:t>
      </w:r>
      <w:r w:rsidR="008A050B" w:rsidRPr="00CC7A9D">
        <w:t>The</w:t>
      </w:r>
      <w:r>
        <w:t xml:space="preserve"> </w:t>
      </w:r>
      <w:r w:rsidR="008A050B" w:rsidRPr="00CC7A9D">
        <w:t>two measures include those fixtures inside</w:t>
      </w:r>
      <w:r w:rsidR="008A050B">
        <w:t xml:space="preserve"> dwellings, as well as in common areas</w:t>
      </w:r>
      <w:r w:rsidR="008A050B" w:rsidRPr="00C54415">
        <w:t>.</w:t>
      </w:r>
      <w:r w:rsidR="008A050B" w:rsidRPr="008F3CE6">
        <w:rPr>
          <w:rFonts w:ascii="Arial" w:hAnsi="Arial" w:cs="Arial"/>
          <w:sz w:val="20"/>
          <w:szCs w:val="20"/>
        </w:rPr>
        <w:t xml:space="preserve">  </w:t>
      </w:r>
    </w:p>
    <w:p w:rsidR="00C91DAF" w:rsidRDefault="00C91DAF" w:rsidP="008A050B">
      <w:pPr>
        <w:rPr>
          <w:rFonts w:ascii="Arial" w:hAnsi="Arial" w:cs="Arial"/>
          <w:sz w:val="20"/>
          <w:szCs w:val="20"/>
        </w:rPr>
      </w:pPr>
    </w:p>
    <w:p w:rsidR="00C91DAF" w:rsidRDefault="00C91DAF" w:rsidP="00C91DAF">
      <w:pPr>
        <w:pStyle w:val="Heading2"/>
      </w:pPr>
      <w:bookmarkStart w:id="19" w:name="_Toc387418971"/>
      <w:bookmarkStart w:id="20" w:name="_Toc387827817"/>
      <w:bookmarkStart w:id="21" w:name="_Toc388008204"/>
      <w:bookmarkStart w:id="22" w:name="_Toc436822590"/>
      <w:r>
        <w:t>1.3</w:t>
      </w:r>
      <w:r w:rsidRPr="001F0CA0">
        <w:t xml:space="preserve"> </w:t>
      </w:r>
      <w:r>
        <w:t>Measure Application Type</w:t>
      </w:r>
      <w:bookmarkEnd w:id="19"/>
      <w:bookmarkEnd w:id="20"/>
      <w:bookmarkEnd w:id="21"/>
      <w:bookmarkEnd w:id="22"/>
    </w:p>
    <w:p w:rsidR="00C91DAF" w:rsidRPr="00502494" w:rsidRDefault="00C91DAF" w:rsidP="00C91DAF">
      <w:pPr>
        <w:rPr>
          <w:rFonts w:ascii="Arial" w:hAnsi="Arial" w:cs="Arial"/>
          <w:sz w:val="20"/>
          <w:szCs w:val="20"/>
        </w:rPr>
      </w:pPr>
      <w:r w:rsidRPr="00697230">
        <w:t xml:space="preserve">The DEER Measure Cost Data Users Guide found on </w:t>
      </w:r>
      <w:hyperlink r:id="rId27" w:history="1">
        <w:r w:rsidRPr="00697230">
          <w:t>www.deeresources.com</w:t>
        </w:r>
      </w:hyperlink>
      <w:r w:rsidRPr="00697230">
        <w:t xml:space="preserve"> under DEER2011 Database Format hyperlink, DEER2011 for 13-14, spreadsheet SPTdata_format-V0.97.xls, defines the terms as follows:</w:t>
      </w:r>
    </w:p>
    <w:p w:rsidR="00C91DAF" w:rsidRPr="00746B00" w:rsidRDefault="00C91DAF" w:rsidP="00C91DAF">
      <w:pPr>
        <w:rPr>
          <w:rFonts w:ascii="Arial" w:hAnsi="Arial" w:cs="Arial"/>
          <w:i/>
        </w:rPr>
      </w:pPr>
    </w:p>
    <w:p w:rsidR="00C91DAF" w:rsidRPr="00697230" w:rsidRDefault="00C91DAF" w:rsidP="00C91DAF">
      <w:pPr>
        <w:pStyle w:val="Caption"/>
        <w:keepNext/>
        <w:rPr>
          <w:b w:val="0"/>
          <w:bCs w:val="0"/>
          <w:sz w:val="24"/>
          <w:szCs w:val="24"/>
        </w:rPr>
      </w:pPr>
      <w:bookmarkStart w:id="23" w:name="_Toc324427642"/>
      <w:bookmarkStart w:id="24" w:name="_Toc383697824"/>
      <w:bookmarkStart w:id="25" w:name="_Toc387418797"/>
      <w:bookmarkStart w:id="26" w:name="_Toc387827976"/>
      <w:bookmarkStart w:id="27" w:name="_Toc388008193"/>
      <w:bookmarkStart w:id="28" w:name="_Toc436822579"/>
      <w:r w:rsidRPr="00697230">
        <w:rPr>
          <w:b w:val="0"/>
          <w:bCs w:val="0"/>
          <w:sz w:val="24"/>
          <w:szCs w:val="24"/>
        </w:rPr>
        <w:t xml:space="preserve">Table </w:t>
      </w:r>
      <w:r w:rsidRPr="00697230">
        <w:rPr>
          <w:b w:val="0"/>
          <w:bCs w:val="0"/>
          <w:sz w:val="24"/>
          <w:szCs w:val="24"/>
        </w:rPr>
        <w:fldChar w:fldCharType="begin"/>
      </w:r>
      <w:r w:rsidRPr="00697230">
        <w:rPr>
          <w:b w:val="0"/>
          <w:bCs w:val="0"/>
          <w:sz w:val="24"/>
          <w:szCs w:val="24"/>
        </w:rPr>
        <w:instrText xml:space="preserve"> SEQ Table \* ARABIC </w:instrText>
      </w:r>
      <w:r w:rsidRPr="00697230">
        <w:rPr>
          <w:b w:val="0"/>
          <w:bCs w:val="0"/>
          <w:sz w:val="24"/>
          <w:szCs w:val="24"/>
        </w:rPr>
        <w:fldChar w:fldCharType="separate"/>
      </w:r>
      <w:r w:rsidR="001D48B2">
        <w:rPr>
          <w:b w:val="0"/>
          <w:bCs w:val="0"/>
          <w:noProof/>
          <w:sz w:val="24"/>
          <w:szCs w:val="24"/>
        </w:rPr>
        <w:t>1</w:t>
      </w:r>
      <w:r w:rsidRPr="00697230">
        <w:rPr>
          <w:b w:val="0"/>
          <w:bCs w:val="0"/>
          <w:sz w:val="24"/>
          <w:szCs w:val="24"/>
        </w:rPr>
        <w:fldChar w:fldCharType="end"/>
      </w:r>
      <w:bookmarkStart w:id="29" w:name="RANGE!B222"/>
      <w:r w:rsidRPr="00697230">
        <w:rPr>
          <w:b w:val="0"/>
          <w:bCs w:val="0"/>
          <w:sz w:val="24"/>
          <w:szCs w:val="24"/>
        </w:rPr>
        <w:t xml:space="preserve"> Measure Application Type</w:t>
      </w:r>
      <w:bookmarkEnd w:id="23"/>
      <w:bookmarkEnd w:id="29"/>
      <w:r w:rsidRPr="00697230">
        <w:rPr>
          <w:b w:val="0"/>
          <w:bCs w:val="0"/>
          <w:sz w:val="24"/>
          <w:szCs w:val="24"/>
        </w:rPr>
        <w:endnoteReference w:id="1"/>
      </w:r>
      <w:bookmarkEnd w:id="24"/>
      <w:bookmarkEnd w:id="25"/>
      <w:bookmarkEnd w:id="26"/>
      <w:bookmarkEnd w:id="27"/>
      <w:bookmarkEnd w:id="28"/>
    </w:p>
    <w:p w:rsidR="00C91DAF" w:rsidRPr="00697230" w:rsidRDefault="00C91DAF" w:rsidP="00C91DAF">
      <w:pPr>
        <w:keepNext/>
      </w:pPr>
      <w:proofErr w:type="gramStart"/>
      <w:r w:rsidRPr="00697230">
        <w:t>Identifies the measure application type in the Measure Implementation table in DEER2011.</w:t>
      </w:r>
      <w:proofErr w:type="gramEnd"/>
    </w:p>
    <w:tbl>
      <w:tblPr>
        <w:tblW w:w="9090" w:type="dxa"/>
        <w:tblInd w:w="108" w:type="dxa"/>
        <w:tblLook w:val="04A0" w:firstRow="1" w:lastRow="0" w:firstColumn="1" w:lastColumn="0" w:noHBand="0" w:noVBand="1"/>
      </w:tblPr>
      <w:tblGrid>
        <w:gridCol w:w="900"/>
        <w:gridCol w:w="2610"/>
        <w:gridCol w:w="5580"/>
      </w:tblGrid>
      <w:tr w:rsidR="00C91DAF" w:rsidRPr="00746B00" w:rsidTr="00E1143E">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C91DAF" w:rsidRPr="00697230" w:rsidRDefault="00C91DAF" w:rsidP="00E1143E">
            <w:pPr>
              <w:keepNext/>
            </w:pPr>
            <w:r w:rsidRPr="00697230">
              <w:t>Code</w:t>
            </w:r>
          </w:p>
        </w:tc>
        <w:tc>
          <w:tcPr>
            <w:tcW w:w="2610" w:type="dxa"/>
            <w:tcBorders>
              <w:top w:val="single" w:sz="4" w:space="0" w:color="auto"/>
              <w:left w:val="nil"/>
              <w:bottom w:val="single" w:sz="8" w:space="0" w:color="auto"/>
              <w:right w:val="nil"/>
            </w:tcBorders>
            <w:shd w:val="clear" w:color="000000" w:fill="D9D9D9"/>
            <w:noWrap/>
            <w:vAlign w:val="bottom"/>
            <w:hideMark/>
          </w:tcPr>
          <w:p w:rsidR="00C91DAF" w:rsidRPr="00697230" w:rsidRDefault="00C91DAF" w:rsidP="00E1143E">
            <w:pPr>
              <w:keepNext/>
            </w:pPr>
            <w:r w:rsidRPr="00697230">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C91DAF" w:rsidRPr="00697230" w:rsidRDefault="00C91DAF" w:rsidP="00E1143E">
            <w:pPr>
              <w:keepNext/>
            </w:pPr>
            <w:r w:rsidRPr="00697230">
              <w:t>Comment</w:t>
            </w:r>
          </w:p>
        </w:tc>
      </w:tr>
      <w:tr w:rsidR="00C91DAF" w:rsidRPr="00746B00" w:rsidTr="00E1143E">
        <w:trPr>
          <w:trHeight w:val="600"/>
        </w:trPr>
        <w:tc>
          <w:tcPr>
            <w:tcW w:w="900" w:type="dxa"/>
            <w:tcBorders>
              <w:top w:val="nil"/>
              <w:left w:val="single" w:sz="4" w:space="0" w:color="auto"/>
              <w:bottom w:val="nil"/>
              <w:right w:val="nil"/>
            </w:tcBorders>
            <w:shd w:val="clear" w:color="auto" w:fill="auto"/>
            <w:noWrap/>
            <w:vAlign w:val="center"/>
            <w:hideMark/>
          </w:tcPr>
          <w:p w:rsidR="00C91DAF" w:rsidRPr="00384457" w:rsidRDefault="00C91DAF" w:rsidP="00E1143E">
            <w:pPr>
              <w:keepNext/>
              <w:rPr>
                <w:sz w:val="20"/>
                <w:szCs w:val="20"/>
              </w:rPr>
            </w:pPr>
            <w:r w:rsidRPr="00384457">
              <w:rPr>
                <w:sz w:val="20"/>
                <w:szCs w:val="20"/>
              </w:rPr>
              <w:t>ER</w:t>
            </w:r>
          </w:p>
        </w:tc>
        <w:tc>
          <w:tcPr>
            <w:tcW w:w="2610" w:type="dxa"/>
            <w:tcBorders>
              <w:top w:val="nil"/>
              <w:left w:val="nil"/>
              <w:bottom w:val="nil"/>
              <w:right w:val="nil"/>
            </w:tcBorders>
            <w:shd w:val="clear" w:color="auto" w:fill="auto"/>
            <w:noWrap/>
            <w:vAlign w:val="center"/>
            <w:hideMark/>
          </w:tcPr>
          <w:p w:rsidR="00C91DAF" w:rsidRPr="00384457" w:rsidRDefault="00C91DAF" w:rsidP="00E1143E">
            <w:pPr>
              <w:keepNext/>
              <w:rPr>
                <w:sz w:val="20"/>
                <w:szCs w:val="20"/>
              </w:rPr>
            </w:pPr>
            <w:r w:rsidRPr="00384457">
              <w:rPr>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C91DAF" w:rsidRPr="00384457" w:rsidRDefault="00C91DAF" w:rsidP="00E1143E">
            <w:pPr>
              <w:keepNext/>
              <w:rPr>
                <w:sz w:val="20"/>
                <w:szCs w:val="20"/>
              </w:rPr>
            </w:pPr>
            <w:r w:rsidRPr="00384457">
              <w:rPr>
                <w:sz w:val="20"/>
                <w:szCs w:val="20"/>
              </w:rPr>
              <w:t>measure applied while existing equipment still viable, or retrofit of existing equipment</w:t>
            </w:r>
          </w:p>
        </w:tc>
      </w:tr>
      <w:tr w:rsidR="00C91DAF" w:rsidRPr="00746B00" w:rsidTr="00E1143E">
        <w:trPr>
          <w:trHeight w:val="600"/>
        </w:trPr>
        <w:tc>
          <w:tcPr>
            <w:tcW w:w="900" w:type="dxa"/>
            <w:tcBorders>
              <w:top w:val="nil"/>
              <w:left w:val="single" w:sz="4" w:space="0" w:color="auto"/>
              <w:bottom w:val="nil"/>
              <w:right w:val="nil"/>
            </w:tcBorders>
            <w:shd w:val="clear" w:color="auto" w:fill="auto"/>
            <w:noWrap/>
            <w:vAlign w:val="center"/>
            <w:hideMark/>
          </w:tcPr>
          <w:p w:rsidR="00C91DAF" w:rsidRPr="00384457" w:rsidRDefault="00C91DAF" w:rsidP="00E1143E">
            <w:pPr>
              <w:keepNext/>
              <w:rPr>
                <w:sz w:val="20"/>
                <w:szCs w:val="20"/>
              </w:rPr>
            </w:pPr>
            <w:r w:rsidRPr="00384457">
              <w:rPr>
                <w:sz w:val="20"/>
                <w:szCs w:val="20"/>
              </w:rPr>
              <w:t>ROB</w:t>
            </w:r>
          </w:p>
        </w:tc>
        <w:tc>
          <w:tcPr>
            <w:tcW w:w="2610" w:type="dxa"/>
            <w:tcBorders>
              <w:top w:val="nil"/>
              <w:left w:val="nil"/>
              <w:bottom w:val="nil"/>
              <w:right w:val="nil"/>
            </w:tcBorders>
            <w:shd w:val="clear" w:color="auto" w:fill="auto"/>
            <w:noWrap/>
            <w:vAlign w:val="center"/>
            <w:hideMark/>
          </w:tcPr>
          <w:p w:rsidR="00C91DAF" w:rsidRPr="00384457" w:rsidRDefault="00C91DAF" w:rsidP="00E1143E">
            <w:pPr>
              <w:keepNext/>
              <w:rPr>
                <w:sz w:val="20"/>
                <w:szCs w:val="20"/>
              </w:rPr>
            </w:pPr>
            <w:r w:rsidRPr="00384457">
              <w:rPr>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C91DAF" w:rsidRPr="00384457" w:rsidRDefault="00C91DAF" w:rsidP="00E1143E">
            <w:pPr>
              <w:keepNext/>
              <w:rPr>
                <w:sz w:val="20"/>
                <w:szCs w:val="20"/>
              </w:rPr>
            </w:pPr>
            <w:r w:rsidRPr="00384457">
              <w:rPr>
                <w:sz w:val="20"/>
                <w:szCs w:val="20"/>
              </w:rPr>
              <w:t>measure applied when existing equipment fails or maintenance requires replacement</w:t>
            </w:r>
          </w:p>
        </w:tc>
      </w:tr>
      <w:tr w:rsidR="00C91DAF" w:rsidRPr="00746B00" w:rsidTr="00E1143E">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C91DAF" w:rsidRPr="00384457" w:rsidRDefault="00C91DAF" w:rsidP="00E1143E">
            <w:pPr>
              <w:rPr>
                <w:sz w:val="20"/>
                <w:szCs w:val="20"/>
              </w:rPr>
            </w:pPr>
            <w:r w:rsidRPr="00384457">
              <w:rPr>
                <w:sz w:val="20"/>
                <w:szCs w:val="20"/>
              </w:rPr>
              <w:t>NC</w:t>
            </w:r>
          </w:p>
        </w:tc>
        <w:tc>
          <w:tcPr>
            <w:tcW w:w="2610" w:type="dxa"/>
            <w:tcBorders>
              <w:top w:val="nil"/>
              <w:left w:val="nil"/>
              <w:bottom w:val="single" w:sz="4" w:space="0" w:color="auto"/>
              <w:right w:val="nil"/>
            </w:tcBorders>
            <w:shd w:val="clear" w:color="auto" w:fill="auto"/>
            <w:noWrap/>
            <w:vAlign w:val="center"/>
            <w:hideMark/>
          </w:tcPr>
          <w:p w:rsidR="00C91DAF" w:rsidRPr="00384457" w:rsidRDefault="00C91DAF" w:rsidP="00E1143E">
            <w:pPr>
              <w:rPr>
                <w:sz w:val="20"/>
                <w:szCs w:val="20"/>
              </w:rPr>
            </w:pPr>
            <w:r w:rsidRPr="00384457">
              <w:rPr>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C91DAF" w:rsidRPr="00384457" w:rsidRDefault="00C91DAF" w:rsidP="00E1143E">
            <w:pPr>
              <w:rPr>
                <w:sz w:val="20"/>
                <w:szCs w:val="20"/>
              </w:rPr>
            </w:pPr>
            <w:r w:rsidRPr="00384457">
              <w:rPr>
                <w:sz w:val="20"/>
                <w:szCs w:val="20"/>
              </w:rPr>
              <w:t>measure applied during construction design phase as an alternative to a code-compliant standard design</w:t>
            </w:r>
          </w:p>
        </w:tc>
      </w:tr>
    </w:tbl>
    <w:p w:rsidR="009934C6" w:rsidRDefault="009934C6" w:rsidP="00C91DAF"/>
    <w:p w:rsidR="00C91DAF" w:rsidRDefault="00C91DAF" w:rsidP="00C91DAF">
      <w:pPr>
        <w:rPr>
          <w:rFonts w:ascii="Arial" w:hAnsi="Arial" w:cs="Arial"/>
          <w:sz w:val="20"/>
          <w:szCs w:val="20"/>
        </w:rPr>
      </w:pPr>
      <w:r w:rsidRPr="00697230">
        <w:t xml:space="preserve">All the measures within this </w:t>
      </w:r>
      <w:proofErr w:type="spellStart"/>
      <w:r w:rsidRPr="00697230">
        <w:t>workpaper</w:t>
      </w:r>
      <w:proofErr w:type="spellEnd"/>
      <w:r w:rsidRPr="00697230">
        <w:t xml:space="preserve"> are ROB. </w:t>
      </w:r>
    </w:p>
    <w:p w:rsidR="00C91DAF" w:rsidRPr="00315278" w:rsidRDefault="00C91DAF" w:rsidP="00C91DAF">
      <w:pPr>
        <w:rPr>
          <w:rFonts w:ascii="Arial" w:hAnsi="Arial" w:cs="Arial"/>
          <w:sz w:val="20"/>
          <w:szCs w:val="20"/>
        </w:rPr>
      </w:pPr>
    </w:p>
    <w:p w:rsidR="00C91DAF" w:rsidRDefault="00C91DAF" w:rsidP="008A050B">
      <w:pPr>
        <w:rPr>
          <w:rFonts w:ascii="Arial" w:hAnsi="Arial" w:cs="Arial"/>
          <w:sz w:val="20"/>
          <w:szCs w:val="20"/>
        </w:rPr>
      </w:pPr>
    </w:p>
    <w:p w:rsidR="00B70B1C" w:rsidRDefault="00C91DAF" w:rsidP="00B70B1C">
      <w:pPr>
        <w:pStyle w:val="Heading2"/>
      </w:pPr>
      <w:bookmarkStart w:id="30" w:name="_Toc191278368"/>
      <w:bookmarkStart w:id="31" w:name="_Toc388008205"/>
      <w:bookmarkStart w:id="32" w:name="_Toc436822591"/>
      <w:r w:rsidRPr="00746B00">
        <w:lastRenderedPageBreak/>
        <w:t>1.4 Product Base Case and Measure Case Data</w:t>
      </w:r>
      <w:bookmarkEnd w:id="30"/>
      <w:bookmarkEnd w:id="31"/>
      <w:bookmarkEnd w:id="32"/>
    </w:p>
    <w:p w:rsidR="00582FC8" w:rsidRDefault="00582FC8" w:rsidP="00217BDB">
      <w:r>
        <w:t>The 201</w:t>
      </w:r>
      <w:r w:rsidR="003D11FF">
        <w:t>6</w:t>
      </w:r>
      <w:r>
        <w:t xml:space="preserve"> DEER database contains energy impacts for </w:t>
      </w:r>
      <w:r w:rsidR="007608B4">
        <w:t xml:space="preserve">interior </w:t>
      </w:r>
      <w:r>
        <w:t>residential compact fluorescent fixtures for all residential building types including multifamily</w:t>
      </w:r>
      <w:r w:rsidR="007608B4">
        <w:t>.</w:t>
      </w:r>
      <w:r w:rsidR="00C91DAF">
        <w:t xml:space="preserve"> </w:t>
      </w:r>
      <w:proofErr w:type="gramStart"/>
      <w:r w:rsidR="00C91DAF">
        <w:t>The lightin</w:t>
      </w:r>
      <w:r w:rsidR="00F23C26">
        <w:t>g retrofit disposition December</w:t>
      </w:r>
      <w:r w:rsidR="00C552E3">
        <w:t>14.</w:t>
      </w:r>
      <w:proofErr w:type="gramEnd"/>
      <w:r w:rsidR="00C552E3">
        <w:t xml:space="preserve"> </w:t>
      </w:r>
      <w:r w:rsidR="00C91DAF">
        <w:t>2013</w:t>
      </w:r>
      <w:r w:rsidR="00C552E3">
        <w:rPr>
          <w:rStyle w:val="EndnoteReference"/>
        </w:rPr>
        <w:endnoteReference w:id="2"/>
      </w:r>
      <w:r w:rsidR="00C91DAF">
        <w:t xml:space="preserve"> </w:t>
      </w:r>
      <w:r w:rsidR="003D11FF">
        <w:t>as well as the 2015 Uncertain Measures Update</w:t>
      </w:r>
      <w:r w:rsidR="003D11FF">
        <w:rPr>
          <w:rStyle w:val="EndnoteReference"/>
        </w:rPr>
        <w:endnoteReference w:id="3"/>
      </w:r>
      <w:r w:rsidR="003D11FF">
        <w:t xml:space="preserve"> </w:t>
      </w:r>
      <w:r w:rsidR="00C91DAF">
        <w:t>has multifamily common area for interior CFL hours and IE set which are used for savings calculation.</w:t>
      </w:r>
    </w:p>
    <w:p w:rsidR="00852ABD" w:rsidRDefault="00852ABD" w:rsidP="00217BDB"/>
    <w:p w:rsidR="00852ABD" w:rsidRDefault="00852ABD" w:rsidP="00217BDB">
      <w:r>
        <w:t>The 201</w:t>
      </w:r>
      <w:r w:rsidR="003D11FF">
        <w:t>6</w:t>
      </w:r>
      <w:r>
        <w:t xml:space="preserve"> DEER </w:t>
      </w:r>
      <w:r w:rsidR="00C91DAF">
        <w:t xml:space="preserve">methodology is used with the approved WRR of 3.53 and </w:t>
      </w:r>
      <w:proofErr w:type="gramStart"/>
      <w:r w:rsidR="00C91DAF">
        <w:t>a</w:t>
      </w:r>
      <w:r w:rsidR="003D11FF">
        <w:t xml:space="preserve"> </w:t>
      </w:r>
      <w:r w:rsidR="00C91DAF">
        <w:t>measure</w:t>
      </w:r>
      <w:proofErr w:type="gramEnd"/>
      <w:r w:rsidR="00C91DAF">
        <w:t xml:space="preserve"> wattage of 29W based on the lighting retrofit disposition</w:t>
      </w:r>
      <w:r w:rsidR="00C552E3">
        <w:t xml:space="preserve"> above. </w:t>
      </w:r>
    </w:p>
    <w:p w:rsidR="008E4251" w:rsidRDefault="008E4251" w:rsidP="00217BDB"/>
    <w:p w:rsidR="00C9462E" w:rsidRDefault="00330EB4" w:rsidP="00330EB4">
      <w:pPr>
        <w:pStyle w:val="Heading2"/>
      </w:pPr>
      <w:bookmarkStart w:id="33" w:name="_Toc387827820"/>
      <w:bookmarkStart w:id="34" w:name="_Toc388008206"/>
      <w:bookmarkStart w:id="35" w:name="_Toc436822592"/>
      <w:r w:rsidRPr="00746B00">
        <w:t>1.4.1 DEER Base Case and Measure Case Information</w:t>
      </w:r>
      <w:bookmarkEnd w:id="33"/>
      <w:bookmarkEnd w:id="34"/>
      <w:bookmarkEnd w:id="35"/>
    </w:p>
    <w:p w:rsidR="00330EB4" w:rsidRDefault="00330EB4" w:rsidP="00330EB4">
      <w:r>
        <w:rPr>
          <w:iCs/>
        </w:rPr>
        <w:t xml:space="preserve">The base case used for this measure is any incandescent hardwired interior fixture greater than 100W.  For this work paper, we have used </w:t>
      </w:r>
      <w:r>
        <w:t>201</w:t>
      </w:r>
      <w:r w:rsidR="003D11FF">
        <w:t>6</w:t>
      </w:r>
      <w:r>
        <w:t xml:space="preserve"> DEER methodology with the approved WRR of 3.53 and a measure wattage of 29W based on the lighting retrofit disposition December 14, 2013.</w:t>
      </w:r>
    </w:p>
    <w:p w:rsidR="00B16B7C" w:rsidRDefault="00B16B7C" w:rsidP="00330EB4"/>
    <w:p w:rsidR="00330EB4" w:rsidRDefault="00330EB4" w:rsidP="00330EB4">
      <w:pPr>
        <w:rPr>
          <w:b/>
        </w:rPr>
      </w:pPr>
      <w:r w:rsidRPr="00E720AF">
        <w:rPr>
          <w:b/>
        </w:rPr>
        <w:t>Net-to-Gross Assumption:</w:t>
      </w:r>
    </w:p>
    <w:p w:rsidR="00330EB4" w:rsidRDefault="003D11FF" w:rsidP="00330EB4">
      <w:r>
        <w:t xml:space="preserve">The NTG value was obtained using the DEER READI tool.  The relevant NTG </w:t>
      </w:r>
      <w:proofErr w:type="gramStart"/>
      <w:r>
        <w:t>value for the measures in this work paper are</w:t>
      </w:r>
      <w:proofErr w:type="gramEnd"/>
      <w:r>
        <w:t xml:space="preserve"> in the table below:</w:t>
      </w:r>
    </w:p>
    <w:p w:rsidR="00330EB4" w:rsidRDefault="00330EB4" w:rsidP="00330EB4"/>
    <w:p w:rsidR="00330EB4" w:rsidRPr="001D48B2" w:rsidRDefault="00330EB4" w:rsidP="00330EB4">
      <w:pPr>
        <w:pStyle w:val="Caption"/>
        <w:jc w:val="center"/>
        <w:rPr>
          <w:i/>
          <w:szCs w:val="24"/>
        </w:rPr>
      </w:pPr>
      <w:bookmarkStart w:id="36" w:name="_Toc436822580"/>
      <w:proofErr w:type="gramStart"/>
      <w:r w:rsidRPr="001D48B2">
        <w:rPr>
          <w:szCs w:val="24"/>
        </w:rPr>
        <w:t xml:space="preserve">Table </w:t>
      </w:r>
      <w:proofErr w:type="gramEnd"/>
      <w:r w:rsidRPr="001D48B2">
        <w:rPr>
          <w:szCs w:val="24"/>
        </w:rPr>
        <w:fldChar w:fldCharType="begin"/>
      </w:r>
      <w:r w:rsidRPr="001D48B2">
        <w:rPr>
          <w:szCs w:val="24"/>
        </w:rPr>
        <w:instrText xml:space="preserve"> SEQ Table \* ARABIC </w:instrText>
      </w:r>
      <w:r w:rsidRPr="001D48B2">
        <w:rPr>
          <w:szCs w:val="24"/>
        </w:rPr>
        <w:fldChar w:fldCharType="separate"/>
      </w:r>
      <w:r w:rsidR="001D48B2">
        <w:rPr>
          <w:noProof/>
          <w:szCs w:val="24"/>
        </w:rPr>
        <w:t>2</w:t>
      </w:r>
      <w:r w:rsidRPr="001D48B2">
        <w:rPr>
          <w:szCs w:val="24"/>
        </w:rPr>
        <w:fldChar w:fldCharType="end"/>
      </w:r>
      <w:proofErr w:type="gramStart"/>
      <w:r w:rsidRPr="001D48B2">
        <w:rPr>
          <w:szCs w:val="24"/>
        </w:rPr>
        <w:t>.</w:t>
      </w:r>
      <w:proofErr w:type="gramEnd"/>
      <w:r w:rsidRPr="001D48B2">
        <w:rPr>
          <w:szCs w:val="24"/>
        </w:rPr>
        <w:t xml:space="preserve"> N</w:t>
      </w:r>
      <w:r w:rsidR="003D11FF" w:rsidRPr="001D48B2">
        <w:rPr>
          <w:szCs w:val="24"/>
        </w:rPr>
        <w:t>et-to-Gross</w:t>
      </w:r>
      <w:bookmarkEnd w:id="36"/>
    </w:p>
    <w:tbl>
      <w:tblPr>
        <w:tblStyle w:val="TableGrid1"/>
        <w:tblW w:w="5000" w:type="pct"/>
        <w:tblLook w:val="01E0" w:firstRow="1" w:lastRow="1" w:firstColumn="1" w:lastColumn="1" w:noHBand="0" w:noVBand="0"/>
      </w:tblPr>
      <w:tblGrid>
        <w:gridCol w:w="1709"/>
        <w:gridCol w:w="4849"/>
        <w:gridCol w:w="726"/>
        <w:gridCol w:w="2292"/>
      </w:tblGrid>
      <w:tr w:rsidR="003D11FF" w:rsidRPr="001D48B2" w:rsidTr="001D48B2">
        <w:trPr>
          <w:trHeight w:val="490"/>
        </w:trPr>
        <w:tc>
          <w:tcPr>
            <w:tcW w:w="892" w:type="pct"/>
            <w:shd w:val="clear" w:color="auto" w:fill="D9D9D9" w:themeFill="background1" w:themeFillShade="D9"/>
            <w:vAlign w:val="center"/>
          </w:tcPr>
          <w:p w:rsidR="003D11FF" w:rsidRPr="001D48B2" w:rsidRDefault="003D11FF" w:rsidP="001D48B2">
            <w:pPr>
              <w:jc w:val="center"/>
              <w:rPr>
                <w:rFonts w:ascii="Times New Roman" w:hAnsi="Times New Roman"/>
                <w:b/>
                <w:sz w:val="20"/>
                <w:szCs w:val="20"/>
              </w:rPr>
            </w:pPr>
            <w:r w:rsidRPr="001D48B2">
              <w:rPr>
                <w:rFonts w:ascii="Times New Roman" w:hAnsi="Times New Roman"/>
                <w:b/>
                <w:sz w:val="20"/>
                <w:szCs w:val="20"/>
              </w:rPr>
              <w:t>NTGR_ID</w:t>
            </w:r>
          </w:p>
        </w:tc>
        <w:tc>
          <w:tcPr>
            <w:tcW w:w="2532" w:type="pct"/>
            <w:shd w:val="clear" w:color="auto" w:fill="D9D9D9" w:themeFill="background1" w:themeFillShade="D9"/>
            <w:vAlign w:val="center"/>
          </w:tcPr>
          <w:p w:rsidR="003D11FF" w:rsidRPr="001D48B2" w:rsidRDefault="003D11FF" w:rsidP="001D48B2">
            <w:pPr>
              <w:jc w:val="center"/>
              <w:rPr>
                <w:rFonts w:ascii="Times New Roman" w:hAnsi="Times New Roman"/>
                <w:b/>
                <w:sz w:val="20"/>
                <w:szCs w:val="20"/>
              </w:rPr>
            </w:pPr>
            <w:r w:rsidRPr="001D48B2">
              <w:rPr>
                <w:rFonts w:ascii="Times New Roman" w:hAnsi="Times New Roman"/>
                <w:b/>
                <w:sz w:val="20"/>
                <w:szCs w:val="20"/>
              </w:rPr>
              <w:t>Description</w:t>
            </w:r>
          </w:p>
        </w:tc>
        <w:tc>
          <w:tcPr>
            <w:tcW w:w="379" w:type="pct"/>
            <w:shd w:val="clear" w:color="auto" w:fill="D9D9D9" w:themeFill="background1" w:themeFillShade="D9"/>
            <w:vAlign w:val="center"/>
          </w:tcPr>
          <w:p w:rsidR="003D11FF" w:rsidRPr="001D48B2" w:rsidRDefault="003D11FF" w:rsidP="001D48B2">
            <w:pPr>
              <w:jc w:val="center"/>
              <w:rPr>
                <w:rFonts w:ascii="Times New Roman" w:hAnsi="Times New Roman"/>
                <w:b/>
                <w:sz w:val="20"/>
                <w:szCs w:val="20"/>
              </w:rPr>
            </w:pPr>
            <w:r w:rsidRPr="001D48B2">
              <w:rPr>
                <w:rFonts w:ascii="Times New Roman" w:hAnsi="Times New Roman"/>
                <w:b/>
                <w:sz w:val="20"/>
                <w:szCs w:val="20"/>
              </w:rPr>
              <w:t>NTG</w:t>
            </w:r>
          </w:p>
        </w:tc>
        <w:tc>
          <w:tcPr>
            <w:tcW w:w="1197" w:type="pct"/>
            <w:shd w:val="clear" w:color="auto" w:fill="D9D9D9" w:themeFill="background1" w:themeFillShade="D9"/>
            <w:vAlign w:val="center"/>
          </w:tcPr>
          <w:p w:rsidR="003D11FF" w:rsidRPr="001D48B2" w:rsidRDefault="003D11FF" w:rsidP="001D48B2">
            <w:pPr>
              <w:jc w:val="center"/>
              <w:rPr>
                <w:rFonts w:ascii="Times New Roman" w:hAnsi="Times New Roman"/>
                <w:b/>
                <w:sz w:val="20"/>
                <w:szCs w:val="20"/>
              </w:rPr>
            </w:pPr>
            <w:r w:rsidRPr="001D48B2">
              <w:rPr>
                <w:rFonts w:ascii="Times New Roman" w:hAnsi="Times New Roman"/>
                <w:b/>
                <w:sz w:val="20"/>
                <w:szCs w:val="20"/>
              </w:rPr>
              <w:t>Version</w:t>
            </w:r>
          </w:p>
          <w:p w:rsidR="003D11FF" w:rsidRPr="001D48B2" w:rsidRDefault="003D11FF" w:rsidP="001D48B2">
            <w:pPr>
              <w:jc w:val="center"/>
              <w:rPr>
                <w:rFonts w:ascii="Times New Roman" w:hAnsi="Times New Roman"/>
                <w:b/>
                <w:sz w:val="20"/>
                <w:szCs w:val="20"/>
              </w:rPr>
            </w:pPr>
            <w:r w:rsidRPr="001D48B2">
              <w:rPr>
                <w:rFonts w:ascii="Times New Roman" w:hAnsi="Times New Roman"/>
                <w:b/>
                <w:sz w:val="20"/>
                <w:szCs w:val="20"/>
              </w:rPr>
              <w:t>Version Source</w:t>
            </w:r>
          </w:p>
        </w:tc>
      </w:tr>
      <w:tr w:rsidR="003D11FF" w:rsidRPr="001D48B2" w:rsidTr="001D48B2">
        <w:trPr>
          <w:trHeight w:val="233"/>
        </w:trPr>
        <w:tc>
          <w:tcPr>
            <w:tcW w:w="892" w:type="pct"/>
            <w:vAlign w:val="center"/>
          </w:tcPr>
          <w:p w:rsidR="003D11FF" w:rsidRPr="001D48B2" w:rsidRDefault="003D11FF" w:rsidP="001D48B2">
            <w:pPr>
              <w:jc w:val="center"/>
              <w:rPr>
                <w:rFonts w:ascii="Times New Roman" w:hAnsi="Times New Roman"/>
                <w:sz w:val="20"/>
                <w:szCs w:val="20"/>
              </w:rPr>
            </w:pPr>
            <w:r w:rsidRPr="001D48B2">
              <w:rPr>
                <w:rFonts w:ascii="Times New Roman" w:hAnsi="Times New Roman"/>
                <w:color w:val="000000"/>
                <w:sz w:val="20"/>
                <w:szCs w:val="20"/>
              </w:rPr>
              <w:t>Res-Default&gt;2</w:t>
            </w:r>
          </w:p>
        </w:tc>
        <w:tc>
          <w:tcPr>
            <w:tcW w:w="2532" w:type="pct"/>
            <w:vAlign w:val="center"/>
          </w:tcPr>
          <w:p w:rsidR="003D11FF" w:rsidRPr="001D48B2" w:rsidRDefault="003D11FF" w:rsidP="001D48B2">
            <w:pPr>
              <w:jc w:val="center"/>
              <w:rPr>
                <w:rFonts w:ascii="Times New Roman" w:hAnsi="Times New Roman"/>
                <w:sz w:val="20"/>
                <w:szCs w:val="20"/>
              </w:rPr>
            </w:pPr>
            <w:r w:rsidRPr="001D48B2">
              <w:rPr>
                <w:rFonts w:ascii="Times New Roman" w:hAnsi="Times New Roman"/>
                <w:sz w:val="20"/>
                <w:szCs w:val="20"/>
              </w:rPr>
              <w:t>All other EEM with no evaluated NTGR; existing EEM with same delivery mechanism for more than 2 years</w:t>
            </w:r>
          </w:p>
        </w:tc>
        <w:tc>
          <w:tcPr>
            <w:tcW w:w="379" w:type="pct"/>
            <w:vAlign w:val="center"/>
          </w:tcPr>
          <w:p w:rsidR="003D11FF" w:rsidRPr="001D48B2" w:rsidRDefault="003D11FF" w:rsidP="001D48B2">
            <w:pPr>
              <w:jc w:val="center"/>
              <w:rPr>
                <w:rFonts w:ascii="Times New Roman" w:hAnsi="Times New Roman"/>
                <w:sz w:val="20"/>
                <w:szCs w:val="20"/>
              </w:rPr>
            </w:pPr>
            <w:r w:rsidRPr="001D48B2">
              <w:rPr>
                <w:rFonts w:ascii="Times New Roman" w:hAnsi="Times New Roman"/>
                <w:sz w:val="20"/>
                <w:szCs w:val="20"/>
              </w:rPr>
              <w:t>0.55</w:t>
            </w:r>
          </w:p>
        </w:tc>
        <w:tc>
          <w:tcPr>
            <w:tcW w:w="1197" w:type="pct"/>
            <w:vAlign w:val="center"/>
          </w:tcPr>
          <w:p w:rsidR="003D11FF" w:rsidRPr="001D48B2" w:rsidRDefault="003D11FF" w:rsidP="001D48B2">
            <w:pPr>
              <w:jc w:val="center"/>
              <w:rPr>
                <w:rFonts w:ascii="Times New Roman" w:hAnsi="Times New Roman"/>
                <w:sz w:val="20"/>
                <w:szCs w:val="20"/>
              </w:rPr>
            </w:pPr>
            <w:r w:rsidRPr="001D48B2">
              <w:rPr>
                <w:rFonts w:ascii="Times New Roman" w:hAnsi="Times New Roman"/>
                <w:sz w:val="20"/>
                <w:szCs w:val="20"/>
              </w:rPr>
              <w:t>DEER 2014</w:t>
            </w:r>
          </w:p>
          <w:p w:rsidR="003D11FF" w:rsidRPr="001D48B2" w:rsidRDefault="003D11FF" w:rsidP="001D48B2">
            <w:pPr>
              <w:jc w:val="center"/>
              <w:rPr>
                <w:rFonts w:ascii="Times New Roman" w:hAnsi="Times New Roman"/>
                <w:sz w:val="20"/>
                <w:szCs w:val="20"/>
              </w:rPr>
            </w:pPr>
            <w:r w:rsidRPr="001D48B2">
              <w:rPr>
                <w:rFonts w:ascii="Times New Roman" w:hAnsi="Times New Roman"/>
                <w:sz w:val="20"/>
                <w:szCs w:val="20"/>
              </w:rPr>
              <w:t>D13 v1.0</w:t>
            </w:r>
          </w:p>
        </w:tc>
      </w:tr>
    </w:tbl>
    <w:p w:rsidR="00330EB4" w:rsidRDefault="00330EB4" w:rsidP="00330EB4">
      <w:pPr>
        <w:rPr>
          <w:b/>
        </w:rPr>
      </w:pPr>
    </w:p>
    <w:p w:rsidR="003D11FF" w:rsidRPr="003D11FF" w:rsidRDefault="003D11FF" w:rsidP="003D11FF">
      <w:pPr>
        <w:rPr>
          <w:b/>
        </w:rPr>
      </w:pPr>
      <w:r w:rsidRPr="003D11FF">
        <w:rPr>
          <w:b/>
        </w:rPr>
        <w:t>Spillage Rate</w:t>
      </w:r>
      <w:r w:rsidR="001D48B2">
        <w:rPr>
          <w:b/>
        </w:rPr>
        <w:t>:</w:t>
      </w:r>
    </w:p>
    <w:p w:rsidR="003D11FF" w:rsidRPr="003D11FF" w:rsidRDefault="003D11FF" w:rsidP="003D11FF">
      <w:r w:rsidRPr="003D11FF">
        <w:t>Spillage rates are not tracked in work papers; they are tracked in an external document which will be supplied to the Commission Staff.</w:t>
      </w:r>
    </w:p>
    <w:p w:rsidR="003D11FF" w:rsidRDefault="003D11FF" w:rsidP="003D11FF">
      <w:pPr>
        <w:rPr>
          <w:b/>
        </w:rPr>
      </w:pPr>
    </w:p>
    <w:p w:rsidR="003D11FF" w:rsidRPr="003D11FF" w:rsidRDefault="003D11FF" w:rsidP="003D11FF">
      <w:pPr>
        <w:spacing w:before="40" w:after="40"/>
        <w:rPr>
          <w:b/>
        </w:rPr>
      </w:pPr>
      <w:r w:rsidRPr="003D11FF">
        <w:rPr>
          <w:b/>
        </w:rPr>
        <w:t>Installation Rate</w:t>
      </w:r>
      <w:r w:rsidR="001D48B2">
        <w:rPr>
          <w:b/>
        </w:rPr>
        <w:t>:</w:t>
      </w:r>
    </w:p>
    <w:p w:rsidR="003D11FF" w:rsidRDefault="003D11FF" w:rsidP="003D11FF">
      <w:pPr>
        <w:rPr>
          <w:rFonts w:eastAsiaTheme="minorHAnsi"/>
        </w:rPr>
      </w:pPr>
      <w:r w:rsidRPr="003D11FF">
        <w:rPr>
          <w:rFonts w:eastAsiaTheme="minorHAnsi"/>
        </w:rPr>
        <w:t xml:space="preserve">The IR value </w:t>
      </w:r>
      <w:r w:rsidR="002F0168">
        <w:rPr>
          <w:rFonts w:eastAsiaTheme="minorHAnsi"/>
        </w:rPr>
        <w:t>was</w:t>
      </w:r>
      <w:r w:rsidRPr="003D11FF">
        <w:rPr>
          <w:rFonts w:eastAsiaTheme="minorHAnsi"/>
        </w:rPr>
        <w:t xml:space="preserve"> obtained using the DEER READI tool. The relevant IR </w:t>
      </w:r>
      <w:proofErr w:type="gramStart"/>
      <w:r w:rsidRPr="003D11FF">
        <w:rPr>
          <w:rFonts w:eastAsiaTheme="minorHAnsi"/>
        </w:rPr>
        <w:t>value for the measures in this work paper are</w:t>
      </w:r>
      <w:proofErr w:type="gramEnd"/>
      <w:r w:rsidRPr="003D11FF">
        <w:rPr>
          <w:rFonts w:eastAsiaTheme="minorHAnsi"/>
        </w:rPr>
        <w:t xml:space="preserve"> in the table below</w:t>
      </w:r>
      <w:r w:rsidR="002F0168">
        <w:rPr>
          <w:rFonts w:eastAsiaTheme="minorHAnsi"/>
        </w:rPr>
        <w:t>:</w:t>
      </w:r>
    </w:p>
    <w:p w:rsidR="003D11FF" w:rsidRDefault="003D11FF" w:rsidP="003D11FF">
      <w:pPr>
        <w:rPr>
          <w:rFonts w:eastAsiaTheme="minorHAnsi"/>
        </w:rPr>
      </w:pPr>
    </w:p>
    <w:p w:rsidR="003D11FF" w:rsidRPr="003D11FF" w:rsidRDefault="003D11FF" w:rsidP="003D11FF">
      <w:pPr>
        <w:pStyle w:val="Caption"/>
        <w:jc w:val="center"/>
        <w:rPr>
          <w:rFonts w:eastAsiaTheme="minorHAnsi"/>
          <w:sz w:val="24"/>
          <w:szCs w:val="24"/>
        </w:rPr>
      </w:pPr>
      <w:bookmarkStart w:id="37" w:name="_Toc436822581"/>
      <w:r>
        <w:t xml:space="preserve">Table </w:t>
      </w:r>
      <w:r w:rsidR="005F7D49">
        <w:fldChar w:fldCharType="begin"/>
      </w:r>
      <w:r w:rsidR="005F7D49">
        <w:instrText xml:space="preserve"> SEQ Table \* ARABIC </w:instrText>
      </w:r>
      <w:r w:rsidR="005F7D49">
        <w:fldChar w:fldCharType="separate"/>
      </w:r>
      <w:r w:rsidR="001D48B2">
        <w:rPr>
          <w:noProof/>
        </w:rPr>
        <w:t>3</w:t>
      </w:r>
      <w:r w:rsidR="005F7D49">
        <w:rPr>
          <w:noProof/>
        </w:rPr>
        <w:fldChar w:fldCharType="end"/>
      </w:r>
      <w:r>
        <w:t xml:space="preserve"> Installation Rate</w:t>
      </w:r>
      <w:bookmarkEnd w:id="37"/>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3D11FF" w:rsidRPr="003D11FF" w:rsidTr="001D48B2">
        <w:tc>
          <w:tcPr>
            <w:tcW w:w="722"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r w:rsidRPr="003D11FF">
              <w:rPr>
                <w:rFonts w:ascii="Times New Roman" w:hAnsi="Times New Roman"/>
                <w:b/>
                <w:sz w:val="20"/>
              </w:rPr>
              <w:t>GSIA ID</w:t>
            </w:r>
          </w:p>
        </w:tc>
        <w:tc>
          <w:tcPr>
            <w:tcW w:w="1404"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r w:rsidRPr="003D11FF">
              <w:rPr>
                <w:rFonts w:ascii="Times New Roman" w:hAnsi="Times New Roman"/>
                <w:b/>
                <w:sz w:val="20"/>
              </w:rPr>
              <w:t>Description</w:t>
            </w:r>
          </w:p>
        </w:tc>
        <w:tc>
          <w:tcPr>
            <w:tcW w:w="688"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r w:rsidRPr="003D11FF">
              <w:rPr>
                <w:rFonts w:ascii="Times New Roman" w:hAnsi="Times New Roman"/>
                <w:b/>
                <w:sz w:val="20"/>
              </w:rPr>
              <w:t>Sector</w:t>
            </w:r>
          </w:p>
        </w:tc>
        <w:tc>
          <w:tcPr>
            <w:tcW w:w="858"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proofErr w:type="spellStart"/>
            <w:r w:rsidRPr="003D11FF">
              <w:rPr>
                <w:rFonts w:ascii="Times New Roman" w:hAnsi="Times New Roman"/>
                <w:b/>
                <w:sz w:val="20"/>
              </w:rPr>
              <w:t>BldgType</w:t>
            </w:r>
            <w:proofErr w:type="spellEnd"/>
          </w:p>
        </w:tc>
        <w:tc>
          <w:tcPr>
            <w:tcW w:w="693"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proofErr w:type="spellStart"/>
            <w:r w:rsidRPr="003D11FF">
              <w:rPr>
                <w:rFonts w:ascii="Times New Roman" w:hAnsi="Times New Roman"/>
                <w:b/>
                <w:sz w:val="20"/>
              </w:rPr>
              <w:t>ProgDelivID</w:t>
            </w:r>
            <w:proofErr w:type="spellEnd"/>
          </w:p>
        </w:tc>
        <w:tc>
          <w:tcPr>
            <w:tcW w:w="634" w:type="pct"/>
            <w:shd w:val="clear" w:color="auto" w:fill="D9D9D9" w:themeFill="background1" w:themeFillShade="D9"/>
            <w:vAlign w:val="center"/>
          </w:tcPr>
          <w:p w:rsidR="003D11FF" w:rsidRPr="003D11FF" w:rsidRDefault="003D11FF" w:rsidP="001D48B2">
            <w:pPr>
              <w:jc w:val="center"/>
              <w:rPr>
                <w:rFonts w:ascii="Times New Roman" w:hAnsi="Times New Roman"/>
                <w:b/>
                <w:sz w:val="20"/>
              </w:rPr>
            </w:pPr>
            <w:proofErr w:type="spellStart"/>
            <w:r w:rsidRPr="003D11FF">
              <w:rPr>
                <w:rFonts w:ascii="Times New Roman" w:hAnsi="Times New Roman"/>
                <w:b/>
                <w:sz w:val="20"/>
              </w:rPr>
              <w:t>GSIAValue</w:t>
            </w:r>
            <w:proofErr w:type="spellEnd"/>
          </w:p>
        </w:tc>
      </w:tr>
      <w:tr w:rsidR="001D48B2" w:rsidRPr="003D11FF" w:rsidTr="001D48B2">
        <w:tc>
          <w:tcPr>
            <w:tcW w:w="722" w:type="pct"/>
            <w:vAlign w:val="center"/>
          </w:tcPr>
          <w:p w:rsidR="003D11FF" w:rsidRPr="003D11FF" w:rsidRDefault="001D48B2" w:rsidP="001D48B2">
            <w:pPr>
              <w:jc w:val="center"/>
              <w:rPr>
                <w:rFonts w:ascii="Times New Roman" w:hAnsi="Times New Roman"/>
                <w:sz w:val="20"/>
              </w:rPr>
            </w:pPr>
            <w:proofErr w:type="spellStart"/>
            <w:r w:rsidRPr="001D48B2">
              <w:rPr>
                <w:rFonts w:ascii="Times New Roman" w:hAnsi="Times New Roman"/>
                <w:sz w:val="20"/>
              </w:rPr>
              <w:t>MFm</w:t>
            </w:r>
            <w:proofErr w:type="spellEnd"/>
            <w:r w:rsidRPr="001D48B2">
              <w:rPr>
                <w:rFonts w:ascii="Times New Roman" w:hAnsi="Times New Roman"/>
                <w:sz w:val="20"/>
              </w:rPr>
              <w:t>-</w:t>
            </w:r>
            <w:proofErr w:type="spellStart"/>
            <w:r w:rsidRPr="001D48B2">
              <w:rPr>
                <w:rFonts w:ascii="Times New Roman" w:hAnsi="Times New Roman"/>
                <w:sz w:val="20"/>
              </w:rPr>
              <w:t>IntCF</w:t>
            </w:r>
            <w:proofErr w:type="spellEnd"/>
            <w:r w:rsidRPr="001D48B2">
              <w:rPr>
                <w:rFonts w:ascii="Times New Roman" w:hAnsi="Times New Roman"/>
                <w:sz w:val="20"/>
              </w:rPr>
              <w:t>-PGE</w:t>
            </w:r>
          </w:p>
        </w:tc>
        <w:tc>
          <w:tcPr>
            <w:tcW w:w="1404" w:type="pct"/>
            <w:vAlign w:val="center"/>
          </w:tcPr>
          <w:p w:rsidR="003D11FF" w:rsidRPr="003D11FF" w:rsidRDefault="001D48B2" w:rsidP="001D48B2">
            <w:pPr>
              <w:jc w:val="center"/>
              <w:rPr>
                <w:rFonts w:ascii="Times New Roman" w:hAnsi="Times New Roman"/>
                <w:sz w:val="20"/>
              </w:rPr>
            </w:pPr>
            <w:r w:rsidRPr="001D48B2">
              <w:rPr>
                <w:rFonts w:ascii="Times New Roman" w:hAnsi="Times New Roman"/>
                <w:sz w:val="20"/>
              </w:rPr>
              <w:t>Interior CFL; Annual Installation Rate;  Multi-family</w:t>
            </w:r>
          </w:p>
        </w:tc>
        <w:tc>
          <w:tcPr>
            <w:tcW w:w="688" w:type="pct"/>
            <w:vAlign w:val="center"/>
          </w:tcPr>
          <w:p w:rsidR="003D11FF" w:rsidRPr="003D11FF" w:rsidRDefault="001D48B2" w:rsidP="001D48B2">
            <w:pPr>
              <w:jc w:val="center"/>
              <w:rPr>
                <w:rFonts w:ascii="Times New Roman" w:hAnsi="Times New Roman"/>
                <w:sz w:val="20"/>
              </w:rPr>
            </w:pPr>
            <w:r w:rsidRPr="001D48B2">
              <w:rPr>
                <w:rFonts w:ascii="Times New Roman" w:hAnsi="Times New Roman"/>
                <w:sz w:val="20"/>
              </w:rPr>
              <w:t>Res</w:t>
            </w:r>
          </w:p>
        </w:tc>
        <w:tc>
          <w:tcPr>
            <w:tcW w:w="858" w:type="pct"/>
            <w:vAlign w:val="center"/>
          </w:tcPr>
          <w:p w:rsidR="003D11FF" w:rsidRPr="003D11FF" w:rsidRDefault="001D48B2" w:rsidP="001D48B2">
            <w:pPr>
              <w:jc w:val="center"/>
              <w:rPr>
                <w:rFonts w:ascii="Times New Roman" w:hAnsi="Times New Roman"/>
                <w:sz w:val="20"/>
              </w:rPr>
            </w:pPr>
            <w:proofErr w:type="spellStart"/>
            <w:r w:rsidRPr="001D48B2">
              <w:rPr>
                <w:rFonts w:ascii="Times New Roman" w:hAnsi="Times New Roman"/>
                <w:sz w:val="20"/>
              </w:rPr>
              <w:t>MFm</w:t>
            </w:r>
            <w:proofErr w:type="spellEnd"/>
          </w:p>
        </w:tc>
        <w:tc>
          <w:tcPr>
            <w:tcW w:w="693" w:type="pct"/>
            <w:vAlign w:val="center"/>
          </w:tcPr>
          <w:p w:rsidR="003D11FF" w:rsidRPr="003D11FF" w:rsidRDefault="001D48B2" w:rsidP="001D48B2">
            <w:pPr>
              <w:jc w:val="center"/>
              <w:rPr>
                <w:rFonts w:ascii="Times New Roman" w:hAnsi="Times New Roman"/>
                <w:sz w:val="20"/>
              </w:rPr>
            </w:pPr>
            <w:proofErr w:type="spellStart"/>
            <w:r w:rsidRPr="001D48B2">
              <w:rPr>
                <w:rFonts w:ascii="Times New Roman" w:hAnsi="Times New Roman"/>
                <w:sz w:val="20"/>
              </w:rPr>
              <w:t>NonUpStrm</w:t>
            </w:r>
            <w:proofErr w:type="spellEnd"/>
          </w:p>
        </w:tc>
        <w:tc>
          <w:tcPr>
            <w:tcW w:w="634" w:type="pct"/>
            <w:vAlign w:val="center"/>
          </w:tcPr>
          <w:p w:rsidR="003D11FF" w:rsidRPr="003D11FF" w:rsidRDefault="001D48B2" w:rsidP="001D48B2">
            <w:pPr>
              <w:jc w:val="center"/>
              <w:rPr>
                <w:rFonts w:ascii="Times New Roman" w:hAnsi="Times New Roman"/>
                <w:sz w:val="20"/>
              </w:rPr>
            </w:pPr>
            <w:r w:rsidRPr="001D48B2">
              <w:rPr>
                <w:rFonts w:ascii="Times New Roman" w:hAnsi="Times New Roman"/>
                <w:sz w:val="20"/>
              </w:rPr>
              <w:t>0.8</w:t>
            </w:r>
            <w:r>
              <w:rPr>
                <w:rFonts w:ascii="Times New Roman" w:hAnsi="Times New Roman"/>
                <w:sz w:val="20"/>
              </w:rPr>
              <w:t>7</w:t>
            </w:r>
          </w:p>
        </w:tc>
      </w:tr>
    </w:tbl>
    <w:p w:rsidR="003D11FF" w:rsidRPr="003D11FF" w:rsidRDefault="003D11FF" w:rsidP="003D11FF">
      <w:pPr>
        <w:spacing w:before="40" w:after="40"/>
        <w:rPr>
          <w:rFonts w:asciiTheme="minorHAnsi" w:hAnsiTheme="minorHAnsi" w:cstheme="minorHAnsi"/>
          <w:b/>
          <w:sz w:val="22"/>
          <w:szCs w:val="22"/>
        </w:rPr>
      </w:pPr>
    </w:p>
    <w:p w:rsidR="00FB6C73" w:rsidRDefault="00FB6C73">
      <w:pPr>
        <w:rPr>
          <w:b/>
        </w:rPr>
      </w:pPr>
      <w:r>
        <w:rPr>
          <w:b/>
        </w:rPr>
        <w:br w:type="page"/>
      </w:r>
    </w:p>
    <w:p w:rsidR="0051543E" w:rsidRDefault="0051543E" w:rsidP="003D11FF">
      <w:pPr>
        <w:rPr>
          <w:b/>
        </w:rPr>
      </w:pPr>
      <w:r w:rsidRPr="00A80156">
        <w:rPr>
          <w:b/>
        </w:rPr>
        <w:lastRenderedPageBreak/>
        <w:t>Effective Useful Life:</w:t>
      </w:r>
    </w:p>
    <w:p w:rsidR="0051543E" w:rsidRDefault="001D48B2" w:rsidP="0051543E">
      <w:pPr>
        <w:tabs>
          <w:tab w:val="left" w:pos="1176"/>
        </w:tabs>
      </w:pPr>
      <w:r w:rsidRPr="001D48B2">
        <w:t xml:space="preserve">The EUL value </w:t>
      </w:r>
      <w:r w:rsidR="002F0168">
        <w:t>was</w:t>
      </w:r>
      <w:r w:rsidRPr="001D48B2">
        <w:t xml:space="preserve"> obtained using the DEER READI tool. </w:t>
      </w:r>
      <w:r>
        <w:t xml:space="preserve"> </w:t>
      </w:r>
      <w:r w:rsidRPr="001D48B2">
        <w:t xml:space="preserve">The relevant EUL value for the measures in this work paper </w:t>
      </w:r>
      <w:r w:rsidR="00F20BDE">
        <w:t>is</w:t>
      </w:r>
      <w:r w:rsidRPr="001D48B2">
        <w:t xml:space="preserve"> in the table below</w:t>
      </w:r>
      <w:r>
        <w:t>:</w:t>
      </w:r>
    </w:p>
    <w:p w:rsidR="001D48B2" w:rsidRDefault="001D48B2" w:rsidP="0051543E">
      <w:pPr>
        <w:tabs>
          <w:tab w:val="left" w:pos="1176"/>
        </w:tabs>
      </w:pPr>
    </w:p>
    <w:p w:rsidR="001D48B2" w:rsidRDefault="001D48B2" w:rsidP="001D48B2">
      <w:pPr>
        <w:pStyle w:val="Caption"/>
        <w:jc w:val="center"/>
      </w:pPr>
      <w:bookmarkStart w:id="38" w:name="_Toc436822582"/>
      <w:r>
        <w:t xml:space="preserve">Table </w:t>
      </w:r>
      <w:r w:rsidR="005F7D49">
        <w:fldChar w:fldCharType="begin"/>
      </w:r>
      <w:r w:rsidR="005F7D49">
        <w:instrText xml:space="preserve"> SEQ Table \* ARABIC </w:instrText>
      </w:r>
      <w:r w:rsidR="005F7D49">
        <w:fldChar w:fldCharType="separate"/>
      </w:r>
      <w:r>
        <w:rPr>
          <w:noProof/>
        </w:rPr>
        <w:t>4</w:t>
      </w:r>
      <w:r w:rsidR="005F7D49">
        <w:rPr>
          <w:noProof/>
        </w:rPr>
        <w:fldChar w:fldCharType="end"/>
      </w:r>
      <w:r>
        <w:t xml:space="preserve"> Effective Useful Life</w:t>
      </w:r>
      <w:bookmarkEnd w:id="38"/>
    </w:p>
    <w:tbl>
      <w:tblPr>
        <w:tblStyle w:val="TableGrid1"/>
        <w:tblW w:w="5000" w:type="pct"/>
        <w:tblLook w:val="04A0" w:firstRow="1" w:lastRow="0" w:firstColumn="1" w:lastColumn="0" w:noHBand="0" w:noVBand="1"/>
      </w:tblPr>
      <w:tblGrid>
        <w:gridCol w:w="1861"/>
        <w:gridCol w:w="3250"/>
        <w:gridCol w:w="1071"/>
        <w:gridCol w:w="1557"/>
        <w:gridCol w:w="1837"/>
      </w:tblGrid>
      <w:tr w:rsidR="001D48B2" w:rsidRPr="00FB6C73" w:rsidTr="001D48B2">
        <w:tc>
          <w:tcPr>
            <w:tcW w:w="972" w:type="pct"/>
            <w:shd w:val="clear" w:color="auto" w:fill="D9D9D9" w:themeFill="background1" w:themeFillShade="D9"/>
            <w:vAlign w:val="center"/>
          </w:tcPr>
          <w:p w:rsidR="001D48B2" w:rsidRPr="00FB6C73" w:rsidRDefault="001D48B2" w:rsidP="001D48B2">
            <w:pPr>
              <w:jc w:val="center"/>
              <w:rPr>
                <w:rFonts w:ascii="Times New Roman" w:hAnsi="Times New Roman"/>
                <w:b/>
                <w:sz w:val="20"/>
                <w:szCs w:val="20"/>
              </w:rPr>
            </w:pPr>
            <w:r w:rsidRPr="00FB6C73">
              <w:rPr>
                <w:rFonts w:ascii="Times New Roman" w:hAnsi="Times New Roman"/>
                <w:b/>
                <w:sz w:val="20"/>
                <w:szCs w:val="20"/>
              </w:rPr>
              <w:t>EUL ID</w:t>
            </w:r>
          </w:p>
        </w:tc>
        <w:tc>
          <w:tcPr>
            <w:tcW w:w="1697" w:type="pct"/>
            <w:shd w:val="clear" w:color="auto" w:fill="D9D9D9" w:themeFill="background1" w:themeFillShade="D9"/>
            <w:vAlign w:val="center"/>
          </w:tcPr>
          <w:p w:rsidR="001D48B2" w:rsidRPr="00FB6C73" w:rsidRDefault="001D48B2" w:rsidP="001D48B2">
            <w:pPr>
              <w:jc w:val="center"/>
              <w:rPr>
                <w:rFonts w:ascii="Times New Roman" w:hAnsi="Times New Roman"/>
                <w:b/>
                <w:sz w:val="20"/>
                <w:szCs w:val="20"/>
              </w:rPr>
            </w:pPr>
            <w:r w:rsidRPr="00FB6C73">
              <w:rPr>
                <w:rFonts w:ascii="Times New Roman" w:hAnsi="Times New Roman"/>
                <w:b/>
                <w:sz w:val="20"/>
                <w:szCs w:val="20"/>
              </w:rPr>
              <w:t>Description</w:t>
            </w:r>
          </w:p>
        </w:tc>
        <w:tc>
          <w:tcPr>
            <w:tcW w:w="559" w:type="pct"/>
            <w:shd w:val="clear" w:color="auto" w:fill="D9D9D9" w:themeFill="background1" w:themeFillShade="D9"/>
            <w:vAlign w:val="center"/>
          </w:tcPr>
          <w:p w:rsidR="001D48B2" w:rsidRPr="00FB6C73" w:rsidRDefault="001D48B2" w:rsidP="001D48B2">
            <w:pPr>
              <w:jc w:val="center"/>
              <w:rPr>
                <w:rFonts w:ascii="Times New Roman" w:hAnsi="Times New Roman"/>
                <w:b/>
                <w:sz w:val="20"/>
                <w:szCs w:val="20"/>
              </w:rPr>
            </w:pPr>
            <w:r w:rsidRPr="00FB6C73">
              <w:rPr>
                <w:rFonts w:ascii="Times New Roman" w:hAnsi="Times New Roman"/>
                <w:b/>
                <w:sz w:val="20"/>
                <w:szCs w:val="20"/>
              </w:rPr>
              <w:t>Sector</w:t>
            </w:r>
          </w:p>
        </w:tc>
        <w:tc>
          <w:tcPr>
            <w:tcW w:w="813" w:type="pct"/>
            <w:shd w:val="clear" w:color="auto" w:fill="D9D9D9" w:themeFill="background1" w:themeFillShade="D9"/>
            <w:vAlign w:val="center"/>
          </w:tcPr>
          <w:p w:rsidR="001D48B2" w:rsidRPr="00FB6C73" w:rsidRDefault="001D48B2" w:rsidP="001D48B2">
            <w:pPr>
              <w:jc w:val="center"/>
              <w:rPr>
                <w:rFonts w:ascii="Times New Roman" w:hAnsi="Times New Roman"/>
                <w:b/>
                <w:sz w:val="20"/>
                <w:szCs w:val="20"/>
              </w:rPr>
            </w:pPr>
            <w:proofErr w:type="spellStart"/>
            <w:r w:rsidRPr="00FB6C73">
              <w:rPr>
                <w:rFonts w:ascii="Times New Roman" w:hAnsi="Times New Roman"/>
                <w:b/>
                <w:sz w:val="20"/>
                <w:szCs w:val="20"/>
              </w:rPr>
              <w:t>UseCategory</w:t>
            </w:r>
            <w:proofErr w:type="spellEnd"/>
          </w:p>
        </w:tc>
        <w:tc>
          <w:tcPr>
            <w:tcW w:w="959" w:type="pct"/>
            <w:shd w:val="clear" w:color="auto" w:fill="D9D9D9" w:themeFill="background1" w:themeFillShade="D9"/>
            <w:vAlign w:val="center"/>
          </w:tcPr>
          <w:p w:rsidR="001D48B2" w:rsidRPr="00FB6C73" w:rsidRDefault="001D48B2" w:rsidP="001D48B2">
            <w:pPr>
              <w:jc w:val="center"/>
              <w:rPr>
                <w:rFonts w:ascii="Times New Roman" w:hAnsi="Times New Roman"/>
                <w:b/>
                <w:sz w:val="20"/>
                <w:szCs w:val="20"/>
              </w:rPr>
            </w:pPr>
            <w:r w:rsidRPr="00FB6C73">
              <w:rPr>
                <w:rFonts w:ascii="Times New Roman" w:hAnsi="Times New Roman"/>
                <w:b/>
                <w:sz w:val="20"/>
                <w:szCs w:val="20"/>
              </w:rPr>
              <w:t>EUL (Years)</w:t>
            </w:r>
          </w:p>
        </w:tc>
      </w:tr>
      <w:tr w:rsidR="00FB6C73" w:rsidRPr="00FB6C73" w:rsidTr="001D48B2">
        <w:trPr>
          <w:trHeight w:val="243"/>
        </w:trPr>
        <w:tc>
          <w:tcPr>
            <w:tcW w:w="972" w:type="pct"/>
            <w:vAlign w:val="center"/>
          </w:tcPr>
          <w:p w:rsidR="00FB6C73" w:rsidRPr="00FB6C73" w:rsidRDefault="00FB6C73" w:rsidP="001D48B2">
            <w:pPr>
              <w:jc w:val="center"/>
              <w:rPr>
                <w:rFonts w:ascii="Times New Roman" w:hAnsi="Times New Roman"/>
                <w:sz w:val="20"/>
                <w:szCs w:val="20"/>
              </w:rPr>
            </w:pPr>
            <w:bookmarkStart w:id="39" w:name="_GoBack"/>
            <w:proofErr w:type="spellStart"/>
            <w:r w:rsidRPr="00FB6C73">
              <w:rPr>
                <w:rFonts w:ascii="Times New Roman" w:hAnsi="Times New Roman"/>
                <w:sz w:val="20"/>
                <w:szCs w:val="20"/>
              </w:rPr>
              <w:t>ILtg</w:t>
            </w:r>
            <w:proofErr w:type="spellEnd"/>
            <w:r w:rsidRPr="00FB6C73">
              <w:rPr>
                <w:rFonts w:ascii="Times New Roman" w:hAnsi="Times New Roman"/>
                <w:sz w:val="20"/>
                <w:szCs w:val="20"/>
              </w:rPr>
              <w:t>-</w:t>
            </w:r>
            <w:proofErr w:type="spellStart"/>
            <w:r w:rsidRPr="00FB6C73">
              <w:rPr>
                <w:rFonts w:ascii="Times New Roman" w:hAnsi="Times New Roman"/>
                <w:sz w:val="20"/>
                <w:szCs w:val="20"/>
              </w:rPr>
              <w:t>CFLfix</w:t>
            </w:r>
            <w:proofErr w:type="spellEnd"/>
            <w:r w:rsidRPr="00FB6C73">
              <w:rPr>
                <w:rFonts w:ascii="Times New Roman" w:hAnsi="Times New Roman"/>
                <w:sz w:val="20"/>
                <w:szCs w:val="20"/>
              </w:rPr>
              <w:t>-Res</w:t>
            </w:r>
            <w:bookmarkEnd w:id="39"/>
          </w:p>
        </w:tc>
        <w:tc>
          <w:tcPr>
            <w:tcW w:w="1697" w:type="pct"/>
            <w:vAlign w:val="center"/>
          </w:tcPr>
          <w:p w:rsidR="00FB6C73" w:rsidRPr="00FB6C73" w:rsidRDefault="00FB6C73" w:rsidP="001D48B2">
            <w:pPr>
              <w:jc w:val="center"/>
              <w:rPr>
                <w:rFonts w:ascii="Times New Roman" w:hAnsi="Times New Roman"/>
                <w:sz w:val="20"/>
                <w:szCs w:val="20"/>
              </w:rPr>
            </w:pPr>
            <w:r w:rsidRPr="00FB6C73">
              <w:rPr>
                <w:rFonts w:ascii="Times New Roman" w:hAnsi="Times New Roman"/>
                <w:sz w:val="20"/>
                <w:szCs w:val="20"/>
              </w:rPr>
              <w:t>CFL Fixtures - Indoor – Residential</w:t>
            </w:r>
          </w:p>
        </w:tc>
        <w:tc>
          <w:tcPr>
            <w:tcW w:w="559" w:type="pct"/>
            <w:vAlign w:val="center"/>
          </w:tcPr>
          <w:p w:rsidR="00FB6C73" w:rsidRPr="00FB6C73" w:rsidRDefault="00FB6C73" w:rsidP="001D48B2">
            <w:pPr>
              <w:jc w:val="center"/>
              <w:rPr>
                <w:rFonts w:ascii="Times New Roman" w:hAnsi="Times New Roman"/>
                <w:sz w:val="20"/>
                <w:szCs w:val="20"/>
              </w:rPr>
            </w:pPr>
            <w:r w:rsidRPr="00FB6C73">
              <w:rPr>
                <w:rFonts w:ascii="Times New Roman" w:hAnsi="Times New Roman"/>
                <w:sz w:val="20"/>
                <w:szCs w:val="20"/>
              </w:rPr>
              <w:t>Res</w:t>
            </w:r>
          </w:p>
        </w:tc>
        <w:tc>
          <w:tcPr>
            <w:tcW w:w="813" w:type="pct"/>
            <w:vAlign w:val="center"/>
          </w:tcPr>
          <w:p w:rsidR="00FB6C73" w:rsidRPr="00FB6C73" w:rsidRDefault="00FB6C73" w:rsidP="001D48B2">
            <w:pPr>
              <w:jc w:val="center"/>
              <w:rPr>
                <w:rFonts w:ascii="Times New Roman" w:hAnsi="Times New Roman"/>
                <w:sz w:val="20"/>
                <w:szCs w:val="20"/>
              </w:rPr>
            </w:pPr>
            <w:r w:rsidRPr="00FB6C73">
              <w:rPr>
                <w:rFonts w:ascii="Times New Roman" w:hAnsi="Times New Roman"/>
                <w:sz w:val="20"/>
                <w:szCs w:val="20"/>
              </w:rPr>
              <w:t>Lighting</w:t>
            </w:r>
          </w:p>
        </w:tc>
        <w:tc>
          <w:tcPr>
            <w:tcW w:w="959" w:type="pct"/>
            <w:vAlign w:val="center"/>
          </w:tcPr>
          <w:p w:rsidR="00FB6C73" w:rsidRPr="00FB6C73" w:rsidRDefault="00FB6C73" w:rsidP="001D48B2">
            <w:pPr>
              <w:jc w:val="center"/>
              <w:rPr>
                <w:rFonts w:ascii="Times New Roman" w:hAnsi="Times New Roman"/>
                <w:sz w:val="20"/>
                <w:szCs w:val="20"/>
              </w:rPr>
            </w:pPr>
            <w:r w:rsidRPr="00FB6C73">
              <w:rPr>
                <w:rFonts w:ascii="Times New Roman" w:hAnsi="Times New Roman"/>
                <w:sz w:val="20"/>
                <w:szCs w:val="20"/>
              </w:rPr>
              <w:t>16</w:t>
            </w:r>
          </w:p>
        </w:tc>
      </w:tr>
      <w:tr w:rsidR="001D48B2" w:rsidRPr="00FB6C73" w:rsidTr="001D48B2">
        <w:trPr>
          <w:trHeight w:val="243"/>
        </w:trPr>
        <w:tc>
          <w:tcPr>
            <w:tcW w:w="972" w:type="pct"/>
            <w:vAlign w:val="center"/>
          </w:tcPr>
          <w:p w:rsidR="001D48B2" w:rsidRPr="00FB6C73" w:rsidRDefault="00F20BDE" w:rsidP="001D48B2">
            <w:pPr>
              <w:jc w:val="center"/>
              <w:rPr>
                <w:rFonts w:ascii="Times New Roman" w:hAnsi="Times New Roman"/>
                <w:sz w:val="20"/>
                <w:szCs w:val="20"/>
              </w:rPr>
            </w:pPr>
            <w:proofErr w:type="spellStart"/>
            <w:r w:rsidRPr="00FB6C73">
              <w:rPr>
                <w:rFonts w:ascii="Times New Roman" w:hAnsi="Times New Roman"/>
                <w:sz w:val="20"/>
                <w:szCs w:val="20"/>
              </w:rPr>
              <w:t>ILtg-CFLfix-ResCmnArea</w:t>
            </w:r>
            <w:proofErr w:type="spellEnd"/>
          </w:p>
        </w:tc>
        <w:tc>
          <w:tcPr>
            <w:tcW w:w="1697" w:type="pct"/>
            <w:vAlign w:val="center"/>
          </w:tcPr>
          <w:p w:rsidR="001D48B2" w:rsidRPr="00FB6C73" w:rsidRDefault="00F20BDE" w:rsidP="001D48B2">
            <w:pPr>
              <w:jc w:val="center"/>
              <w:rPr>
                <w:rFonts w:ascii="Times New Roman" w:hAnsi="Times New Roman"/>
                <w:sz w:val="20"/>
                <w:szCs w:val="20"/>
              </w:rPr>
            </w:pPr>
            <w:r w:rsidRPr="00FB6C73">
              <w:rPr>
                <w:rFonts w:ascii="Times New Roman" w:hAnsi="Times New Roman"/>
                <w:sz w:val="20"/>
                <w:szCs w:val="20"/>
              </w:rPr>
              <w:t>CFL Fixtures - Indoor - Residential Common Area</w:t>
            </w:r>
          </w:p>
        </w:tc>
        <w:tc>
          <w:tcPr>
            <w:tcW w:w="559" w:type="pct"/>
            <w:vAlign w:val="center"/>
          </w:tcPr>
          <w:p w:rsidR="001D48B2" w:rsidRPr="00FB6C73" w:rsidRDefault="001D48B2" w:rsidP="001D48B2">
            <w:pPr>
              <w:jc w:val="center"/>
              <w:rPr>
                <w:rFonts w:ascii="Times New Roman" w:hAnsi="Times New Roman"/>
                <w:sz w:val="20"/>
                <w:szCs w:val="20"/>
              </w:rPr>
            </w:pPr>
            <w:r w:rsidRPr="00FB6C73">
              <w:rPr>
                <w:rFonts w:ascii="Times New Roman" w:hAnsi="Times New Roman"/>
                <w:sz w:val="20"/>
                <w:szCs w:val="20"/>
              </w:rPr>
              <w:t>Res</w:t>
            </w:r>
          </w:p>
        </w:tc>
        <w:tc>
          <w:tcPr>
            <w:tcW w:w="813" w:type="pct"/>
            <w:vAlign w:val="center"/>
          </w:tcPr>
          <w:p w:rsidR="001D48B2" w:rsidRPr="00FB6C73" w:rsidRDefault="001D48B2" w:rsidP="001D48B2">
            <w:pPr>
              <w:jc w:val="center"/>
              <w:rPr>
                <w:rFonts w:ascii="Times New Roman" w:hAnsi="Times New Roman"/>
                <w:sz w:val="20"/>
                <w:szCs w:val="20"/>
              </w:rPr>
            </w:pPr>
            <w:r w:rsidRPr="00FB6C73">
              <w:rPr>
                <w:rFonts w:ascii="Times New Roman" w:hAnsi="Times New Roman"/>
                <w:sz w:val="20"/>
                <w:szCs w:val="20"/>
              </w:rPr>
              <w:t>Lighting</w:t>
            </w:r>
          </w:p>
        </w:tc>
        <w:tc>
          <w:tcPr>
            <w:tcW w:w="959" w:type="pct"/>
            <w:vAlign w:val="center"/>
          </w:tcPr>
          <w:p w:rsidR="001D48B2" w:rsidRPr="00FB6C73" w:rsidRDefault="001D48B2" w:rsidP="001D48B2">
            <w:pPr>
              <w:jc w:val="center"/>
              <w:rPr>
                <w:rFonts w:ascii="Times New Roman" w:hAnsi="Times New Roman"/>
                <w:sz w:val="20"/>
                <w:szCs w:val="20"/>
              </w:rPr>
            </w:pPr>
            <w:r w:rsidRPr="00FB6C73">
              <w:rPr>
                <w:rFonts w:ascii="Times New Roman" w:hAnsi="Times New Roman"/>
                <w:sz w:val="20"/>
                <w:szCs w:val="20"/>
              </w:rPr>
              <w:t>1</w:t>
            </w:r>
            <w:r w:rsidR="00F20BDE" w:rsidRPr="00FB6C73">
              <w:rPr>
                <w:rFonts w:ascii="Times New Roman" w:hAnsi="Times New Roman"/>
                <w:sz w:val="20"/>
                <w:szCs w:val="20"/>
              </w:rPr>
              <w:t>5</w:t>
            </w:r>
          </w:p>
        </w:tc>
      </w:tr>
    </w:tbl>
    <w:p w:rsidR="00E10F58" w:rsidRDefault="00E10F58" w:rsidP="00E10F58">
      <w:pPr>
        <w:pStyle w:val="Heading2"/>
      </w:pPr>
      <w:bookmarkStart w:id="40" w:name="_Toc383697808"/>
      <w:bookmarkStart w:id="41" w:name="_Toc387418974"/>
      <w:bookmarkStart w:id="42" w:name="_Toc387827822"/>
      <w:bookmarkStart w:id="43" w:name="_Toc436822593"/>
      <w:r w:rsidRPr="00757055">
        <w:t>1.4.2 Codes &amp; Standards Requirements Base Case and Measure Information</w:t>
      </w:r>
      <w:bookmarkEnd w:id="40"/>
      <w:bookmarkEnd w:id="41"/>
      <w:bookmarkEnd w:id="42"/>
      <w:bookmarkEnd w:id="43"/>
    </w:p>
    <w:p w:rsidR="00E10F58" w:rsidRPr="00E10F58" w:rsidRDefault="00E10F58" w:rsidP="00E10F58">
      <w:r>
        <w:rPr>
          <w:rFonts w:ascii="Arial" w:hAnsi="Arial" w:cs="Arial"/>
          <w:b/>
          <w:i/>
        </w:rPr>
        <w:t>Title 20:</w:t>
      </w:r>
      <w:r>
        <w:t xml:space="preserve"> These measures do not fall under Title 20 of the California Energy Regulations.  </w:t>
      </w:r>
    </w:p>
    <w:p w:rsidR="00E10F58" w:rsidRDefault="00E10F58" w:rsidP="00E10F58">
      <w:pPr>
        <w:rPr>
          <w:i/>
        </w:rPr>
      </w:pPr>
      <w:r>
        <w:rPr>
          <w:rFonts w:ascii="Arial" w:hAnsi="Arial" w:cs="Arial"/>
          <w:b/>
          <w:i/>
        </w:rPr>
        <w:t>Title 24:</w:t>
      </w:r>
      <w:r>
        <w:t xml:space="preserve"> This measure does not directly fall under Title 24 of the California Energy Regulations.  </w:t>
      </w:r>
    </w:p>
    <w:p w:rsidR="00E10F58" w:rsidRDefault="00E10F58" w:rsidP="00E10F58">
      <w:r>
        <w:rPr>
          <w:rFonts w:ascii="Arial" w:hAnsi="Arial" w:cs="Arial"/>
          <w:b/>
          <w:i/>
        </w:rPr>
        <w:t>Federal Standards:</w:t>
      </w:r>
      <w:r>
        <w:t xml:space="preserve"> These measures do not fall under Federal DOE or EPA Energy Regulations</w:t>
      </w:r>
    </w:p>
    <w:p w:rsidR="002F0168" w:rsidRPr="001965AF" w:rsidRDefault="002F0168" w:rsidP="00E10F58"/>
    <w:p w:rsidR="006531F2" w:rsidRPr="00D971BC" w:rsidRDefault="00E969C5" w:rsidP="00E969C5">
      <w:pPr>
        <w:pStyle w:val="Heading2"/>
      </w:pPr>
      <w:bookmarkStart w:id="44" w:name="_Toc304800207"/>
      <w:bookmarkStart w:id="45" w:name="_Toc324318343"/>
      <w:bookmarkStart w:id="46" w:name="_Toc324340487"/>
      <w:bookmarkStart w:id="47" w:name="_Toc381279671"/>
      <w:bookmarkStart w:id="48" w:name="_Toc383697809"/>
      <w:bookmarkStart w:id="49" w:name="_Toc387418975"/>
      <w:bookmarkStart w:id="50" w:name="_Toc387827823"/>
      <w:bookmarkStart w:id="51" w:name="_Toc388008207"/>
      <w:bookmarkStart w:id="52" w:name="_Toc436822594"/>
      <w:r w:rsidRPr="00746B00">
        <w:t>1.4.3 EM&amp;V, Market Potential, and Other Studies – Base Case and Measure Case Information</w:t>
      </w:r>
      <w:bookmarkStart w:id="53" w:name="OLE_LINK4"/>
      <w:bookmarkStart w:id="54" w:name="OLE_LINK5"/>
      <w:bookmarkEnd w:id="44"/>
      <w:bookmarkEnd w:id="45"/>
      <w:bookmarkEnd w:id="46"/>
      <w:bookmarkEnd w:id="47"/>
      <w:bookmarkEnd w:id="48"/>
      <w:bookmarkEnd w:id="49"/>
      <w:bookmarkEnd w:id="50"/>
      <w:bookmarkEnd w:id="51"/>
      <w:bookmarkEnd w:id="52"/>
    </w:p>
    <w:p w:rsidR="006531F2" w:rsidRPr="00D971BC" w:rsidRDefault="00852ABD" w:rsidP="00B70B1C">
      <w:r>
        <w:t xml:space="preserve">No additional EM&amp;V studies were used to support the assumptions in this </w:t>
      </w:r>
      <w:proofErr w:type="spellStart"/>
      <w:r>
        <w:t>workpaper</w:t>
      </w:r>
      <w:proofErr w:type="spellEnd"/>
      <w:r>
        <w:t>.</w:t>
      </w:r>
    </w:p>
    <w:p w:rsidR="006531F2" w:rsidRDefault="006531F2" w:rsidP="00B70B1C">
      <w:pPr>
        <w:rPr>
          <w:b/>
        </w:rPr>
      </w:pPr>
    </w:p>
    <w:bookmarkEnd w:id="53"/>
    <w:bookmarkEnd w:id="54"/>
    <w:p w:rsidR="00727276" w:rsidRDefault="006531F2" w:rsidP="00C8301A">
      <w:r>
        <w:rPr>
          <w:b/>
        </w:rPr>
        <w:t>Hours of Operation</w:t>
      </w:r>
      <w:r>
        <w:t xml:space="preserve">: </w:t>
      </w:r>
      <w:r w:rsidR="00C8301A">
        <w:t xml:space="preserve"> Hours of operation for </w:t>
      </w:r>
      <w:r w:rsidR="00EC096B">
        <w:t>multifamily in</w:t>
      </w:r>
      <w:r w:rsidR="00727276">
        <w:t>terior spaces are listed in 2014</w:t>
      </w:r>
      <w:r w:rsidR="00EC096B">
        <w:t xml:space="preserve"> DEER as 541 hours/year.  Multifamily </w:t>
      </w:r>
      <w:r w:rsidR="00727276">
        <w:t xml:space="preserve">interior </w:t>
      </w:r>
      <w:r w:rsidR="00EC096B">
        <w:t>c</w:t>
      </w:r>
      <w:r w:rsidR="00C8301A">
        <w:t xml:space="preserve">ommon area operating hours </w:t>
      </w:r>
      <w:r w:rsidR="00727276">
        <w:t xml:space="preserve">of 6142 are based on lighting retrofit disposition </w:t>
      </w:r>
      <w:proofErr w:type="spellStart"/>
      <w:r w:rsidR="00727276">
        <w:t>Decemeber</w:t>
      </w:r>
      <w:proofErr w:type="spellEnd"/>
      <w:r w:rsidR="00727276">
        <w:t xml:space="preserve"> 14, 2013. </w:t>
      </w:r>
    </w:p>
    <w:p w:rsidR="006531F2" w:rsidRDefault="006531F2" w:rsidP="00B70B1C"/>
    <w:p w:rsidR="00727276" w:rsidRDefault="00727276" w:rsidP="00727276">
      <w:pPr>
        <w:pStyle w:val="Heading2"/>
      </w:pPr>
      <w:bookmarkStart w:id="55" w:name="_Toc304800208"/>
      <w:bookmarkStart w:id="56" w:name="_Toc324318344"/>
      <w:bookmarkStart w:id="57" w:name="_Toc324340488"/>
      <w:bookmarkStart w:id="58" w:name="_Toc381279672"/>
      <w:bookmarkStart w:id="59" w:name="_Toc383697810"/>
      <w:bookmarkStart w:id="60" w:name="_Toc387418976"/>
      <w:bookmarkStart w:id="61" w:name="_Toc387827825"/>
      <w:bookmarkStart w:id="62" w:name="_Toc388008208"/>
      <w:bookmarkStart w:id="63" w:name="_Toc436822595"/>
      <w:r w:rsidRPr="00746B00">
        <w:t>1.4.4 Assumpti</w:t>
      </w:r>
      <w:r>
        <w:t xml:space="preserve">ons and Calculations from other sources </w:t>
      </w:r>
      <w:r w:rsidRPr="00746B00">
        <w:t>Base and Measure Cases</w:t>
      </w:r>
      <w:bookmarkEnd w:id="55"/>
      <w:bookmarkEnd w:id="56"/>
      <w:bookmarkEnd w:id="57"/>
      <w:bookmarkEnd w:id="58"/>
      <w:bookmarkEnd w:id="59"/>
      <w:bookmarkEnd w:id="60"/>
      <w:bookmarkEnd w:id="61"/>
      <w:bookmarkEnd w:id="62"/>
      <w:bookmarkEnd w:id="63"/>
    </w:p>
    <w:p w:rsidR="00727276" w:rsidRDefault="00727276" w:rsidP="00727276">
      <w:pPr>
        <w:tabs>
          <w:tab w:val="left" w:pos="1176"/>
        </w:tabs>
      </w:pPr>
      <w:r>
        <w:t xml:space="preserve">The savings calculation in this </w:t>
      </w:r>
      <w:proofErr w:type="spellStart"/>
      <w:r>
        <w:t>workpaper</w:t>
      </w:r>
      <w:proofErr w:type="spellEnd"/>
      <w:r>
        <w:t xml:space="preserve"> followed the </w:t>
      </w:r>
      <w:r w:rsidR="002F0168">
        <w:t xml:space="preserve">2016 DEER and 2015 Uncertain Measures Update as well as the </w:t>
      </w:r>
      <w:r>
        <w:t>2014 DEER and Lighting Disposition from December 14, 2013</w:t>
      </w:r>
      <w:r w:rsidR="001A13EB" w:rsidRPr="001A13EB">
        <w:rPr>
          <w:vertAlign w:val="superscript"/>
        </w:rPr>
        <w:t>2</w:t>
      </w:r>
      <w:r>
        <w:t>.</w:t>
      </w:r>
    </w:p>
    <w:p w:rsidR="001A13EB" w:rsidRDefault="001A13EB">
      <w:bookmarkStart w:id="64" w:name="_Toc191278374"/>
      <w:r>
        <w:rPr>
          <w:b/>
          <w:bCs/>
          <w:i/>
          <w:iCs/>
        </w:rPr>
        <w:br w:type="page"/>
      </w:r>
    </w:p>
    <w:p w:rsidR="006531F2" w:rsidRDefault="006531F2" w:rsidP="000B462F">
      <w:pPr>
        <w:pStyle w:val="Heading1"/>
      </w:pPr>
      <w:bookmarkStart w:id="65" w:name="_Toc436822596"/>
      <w:proofErr w:type="gramStart"/>
      <w:r>
        <w:lastRenderedPageBreak/>
        <w:t>Section 2.</w:t>
      </w:r>
      <w:proofErr w:type="gramEnd"/>
      <w:r>
        <w:t xml:space="preserve"> Calculation Methods</w:t>
      </w:r>
      <w:bookmarkEnd w:id="64"/>
      <w:bookmarkEnd w:id="65"/>
    </w:p>
    <w:p w:rsidR="006531F2" w:rsidRDefault="006531F2" w:rsidP="00B70B1C">
      <w:pPr>
        <w:pStyle w:val="Heading2"/>
      </w:pPr>
      <w:bookmarkStart w:id="66" w:name="_Toc191278375"/>
      <w:bookmarkStart w:id="67" w:name="_Toc436822597"/>
      <w:r>
        <w:t>2.1 Electric Energy Savings Estimation Methodologies</w:t>
      </w:r>
      <w:bookmarkEnd w:id="66"/>
      <w:bookmarkEnd w:id="67"/>
    </w:p>
    <w:p w:rsidR="002123F8" w:rsidRPr="008B1123" w:rsidRDefault="002123F8" w:rsidP="00B70B1C">
      <w:r w:rsidRPr="008B1123">
        <w:t xml:space="preserve">Energy savings were derived from </w:t>
      </w:r>
      <w:r w:rsidR="00356D6A">
        <w:t>201</w:t>
      </w:r>
      <w:r w:rsidR="002F0168">
        <w:t>6</w:t>
      </w:r>
      <w:r w:rsidR="00356D6A">
        <w:t xml:space="preserve"> DEER residential lighting methodology </w:t>
      </w:r>
      <w:r w:rsidRPr="008B1123">
        <w:t xml:space="preserve">for these measures.  </w:t>
      </w:r>
    </w:p>
    <w:p w:rsidR="002123F8" w:rsidRPr="008B1123" w:rsidRDefault="002123F8" w:rsidP="00B70B1C"/>
    <w:p w:rsidR="002123F8" w:rsidRPr="008B1123" w:rsidRDefault="002123F8" w:rsidP="00B70B1C">
      <w:pPr>
        <w:rPr>
          <w:b/>
          <w:u w:val="single"/>
        </w:rPr>
      </w:pPr>
      <w:r w:rsidRPr="008B1123">
        <w:rPr>
          <w:b/>
          <w:u w:val="single"/>
        </w:rPr>
        <w:t>L809</w:t>
      </w:r>
    </w:p>
    <w:p w:rsidR="00331E4C" w:rsidRPr="008202A2" w:rsidRDefault="002F0168" w:rsidP="000C5F62">
      <w:r>
        <w:t>The base case wattage uses the</w:t>
      </w:r>
      <w:r w:rsidR="00331E4C" w:rsidRPr="008202A2">
        <w:t xml:space="preserve"> 201</w:t>
      </w:r>
      <w:r w:rsidR="007B27CC">
        <w:t>4</w:t>
      </w:r>
      <w:r w:rsidR="00331E4C" w:rsidRPr="008202A2">
        <w:t xml:space="preserve"> DEER wattage reduction ratio for compact fluorescent </w:t>
      </w:r>
      <w:r w:rsidR="006E4692">
        <w:t>fixtures</w:t>
      </w:r>
      <w:r w:rsidR="00331E4C" w:rsidRPr="008202A2">
        <w:t xml:space="preserve"> of </w:t>
      </w:r>
      <w:r w:rsidR="006E4692">
        <w:t>3.53</w:t>
      </w:r>
      <w:r w:rsidR="007B27CC">
        <w:t xml:space="preserve">. </w:t>
      </w:r>
      <w:r>
        <w:t xml:space="preserve"> </w:t>
      </w:r>
      <w:r w:rsidR="008202A2">
        <w:t>The 201</w:t>
      </w:r>
      <w:r w:rsidR="007B27CC">
        <w:t>4</w:t>
      </w:r>
      <w:r w:rsidR="008202A2">
        <w:t xml:space="preserve"> DEER multifamily tenant operating hours </w:t>
      </w:r>
      <w:proofErr w:type="gramStart"/>
      <w:r w:rsidR="008202A2">
        <w:t xml:space="preserve">of 541 </w:t>
      </w:r>
      <w:proofErr w:type="spellStart"/>
      <w:r w:rsidR="008202A2">
        <w:t>hrs</w:t>
      </w:r>
      <w:proofErr w:type="spellEnd"/>
      <w:r w:rsidR="008202A2">
        <w:t>/year</w:t>
      </w:r>
      <w:proofErr w:type="gramEnd"/>
      <w:r w:rsidR="008202A2">
        <w:t xml:space="preserve"> were applied, as well as t</w:t>
      </w:r>
      <w:r w:rsidR="00331E4C" w:rsidRPr="008202A2">
        <w:t>he 201</w:t>
      </w:r>
      <w:r w:rsidR="007B27CC">
        <w:t>4</w:t>
      </w:r>
      <w:r w:rsidR="00331E4C" w:rsidRPr="008202A2">
        <w:t xml:space="preserve"> DEER interactive effects factor.</w:t>
      </w:r>
      <w:r w:rsidR="00EA30E3" w:rsidRPr="008202A2">
        <w:t xml:space="preserve">  </w:t>
      </w:r>
    </w:p>
    <w:p w:rsidR="00EA30E3" w:rsidRDefault="00EA30E3" w:rsidP="00EA30E3">
      <w:pPr>
        <w:ind w:left="3600" w:firstLine="720"/>
        <w:rPr>
          <w:iCs/>
          <w:highlight w:val="yellow"/>
        </w:rPr>
      </w:pPr>
    </w:p>
    <w:p w:rsidR="00437390" w:rsidRPr="0025571C" w:rsidRDefault="00437390" w:rsidP="00EA30E3">
      <w:pPr>
        <w:ind w:left="3600" w:firstLine="720"/>
        <w:rPr>
          <w:iCs/>
          <w:highlight w:val="yellow"/>
        </w:rPr>
      </w:pPr>
    </w:p>
    <w:p w:rsidR="00EA30E3" w:rsidRDefault="00437390" w:rsidP="000C5F62">
      <w:pPr>
        <w:ind w:left="720"/>
        <w:jc w:val="center"/>
      </w:pPr>
      <m:oMath>
        <m:r>
          <w:rPr>
            <w:rFonts w:ascii="Cambria Math" w:hAnsi="Cambria Math"/>
          </w:rPr>
          <m:t xml:space="preserve">Annual Energy Savings </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lamp</m:t>
                </m:r>
              </m:den>
            </m:f>
          </m:e>
        </m:d>
        <m:r>
          <w:rPr>
            <w:rFonts w:ascii="Cambria Math" w:hAnsi="Cambria Math"/>
          </w:rPr>
          <m:t>=</m:t>
        </m:r>
        <m:f>
          <m:fPr>
            <m:ctrlPr>
              <w:rPr>
                <w:rFonts w:ascii="Cambria Math" w:hAnsi="Cambria Math"/>
                <w:i/>
              </w:rPr>
            </m:ctrlPr>
          </m:fPr>
          <m:num>
            <m:d>
              <m:dPr>
                <m:ctrlPr>
                  <w:rPr>
                    <w:rFonts w:ascii="Cambria Math" w:hAnsi="Cambria Math"/>
                    <w:i/>
                  </w:rPr>
                </m:ctrlPr>
              </m:dPr>
              <m:e>
                <m:f>
                  <m:fPr>
                    <m:ctrlPr>
                      <w:rPr>
                        <w:rFonts w:ascii="Cambria Math" w:hAnsi="Cambria Math"/>
                        <w:i/>
                      </w:rPr>
                    </m:ctrlPr>
                  </m:fPr>
                  <m:num>
                    <m:r>
                      <w:rPr>
                        <w:rFonts w:ascii="Cambria Math" w:hAnsi="Cambria Math"/>
                      </w:rPr>
                      <m:t>∆Watts</m:t>
                    </m:r>
                  </m:num>
                  <m:den>
                    <m:r>
                      <w:rPr>
                        <w:rFonts w:ascii="Cambria Math" w:hAnsi="Cambria Math"/>
                      </w:rPr>
                      <m:t>unit</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res in unit average hours</m:t>
                    </m:r>
                  </m:num>
                  <m:den>
                    <m:r>
                      <w:rPr>
                        <w:rFonts w:ascii="Cambria Math" w:hAnsi="Cambria Math"/>
                      </w:rPr>
                      <m:t>yr</m:t>
                    </m:r>
                  </m:den>
                </m:f>
              </m:e>
            </m:d>
            <m:r>
              <w:rPr>
                <w:rFonts w:ascii="Cambria Math" w:hAnsi="Cambria Math"/>
              </w:rPr>
              <m:t>×</m:t>
            </m:r>
            <m:d>
              <m:dPr>
                <m:ctrlPr>
                  <w:rPr>
                    <w:rFonts w:ascii="Cambria Math" w:hAnsi="Cambria Math"/>
                    <w:i/>
                  </w:rPr>
                </m:ctrlPr>
              </m:dPr>
              <m:e>
                <m:r>
                  <w:rPr>
                    <w:rFonts w:ascii="Cambria Math" w:hAnsi="Cambria Math"/>
                  </w:rPr>
                  <m:t>int. effects factor</m:t>
                </m:r>
              </m:e>
            </m:d>
          </m:num>
          <m:den>
            <m:r>
              <w:rPr>
                <w:rFonts w:ascii="Cambria Math" w:hAnsi="Cambria Math"/>
              </w:rPr>
              <m:t>1000</m:t>
            </m:r>
            <m:f>
              <m:fPr>
                <m:ctrlPr>
                  <w:rPr>
                    <w:rFonts w:ascii="Cambria Math" w:hAnsi="Cambria Math"/>
                    <w:i/>
                  </w:rPr>
                </m:ctrlPr>
              </m:fPr>
              <m:num>
                <m:r>
                  <w:rPr>
                    <w:rFonts w:ascii="Cambria Math" w:hAnsi="Cambria Math"/>
                  </w:rPr>
                  <m:t>Watts</m:t>
                </m:r>
              </m:num>
              <m:den>
                <m:r>
                  <w:rPr>
                    <w:rFonts w:ascii="Cambria Math" w:hAnsi="Cambria Math"/>
                  </w:rPr>
                  <m:t>kW</m:t>
                </m:r>
              </m:den>
            </m:f>
          </m:den>
        </m:f>
      </m:oMath>
      <w:r>
        <w:t xml:space="preserve"> </w:t>
      </w:r>
    </w:p>
    <w:p w:rsidR="002F0168" w:rsidRDefault="002F0168" w:rsidP="000C5F62">
      <w:pPr>
        <w:ind w:left="720"/>
        <w:jc w:val="center"/>
      </w:pPr>
    </w:p>
    <w:p w:rsidR="008202A2" w:rsidRPr="00437390" w:rsidRDefault="008202A2" w:rsidP="000C5F62">
      <w:pPr>
        <w:ind w:left="720"/>
        <w:jc w:val="center"/>
      </w:pPr>
    </w:p>
    <w:p w:rsidR="00EA30E3" w:rsidRPr="008B1123" w:rsidRDefault="008202A2" w:rsidP="000C5F62">
      <w:pPr>
        <w:ind w:left="720"/>
        <w:jc w:val="center"/>
      </w:pPr>
      <m:oMath>
        <m:r>
          <w:rPr>
            <w:rFonts w:ascii="Cambria Math" w:hAnsi="Cambria Math"/>
          </w:rPr>
          <m:t xml:space="preserve">Annual Energy Savings </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lamp</m:t>
                </m:r>
              </m:den>
            </m:f>
          </m:e>
        </m:d>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29*3.53 W-29 W</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 xml:space="preserve">541 </m:t>
                    </m:r>
                    <m:r>
                      <w:rPr>
                        <w:rFonts w:ascii="Cambria Math" w:hAnsi="Cambria Math"/>
                      </w:rPr>
                      <m:t>hrs</m:t>
                    </m:r>
                  </m:num>
                  <m:den>
                    <m:r>
                      <w:rPr>
                        <w:rFonts w:ascii="Cambria Math" w:hAnsi="Cambria Math"/>
                      </w:rPr>
                      <m:t>yr</m:t>
                    </m:r>
                  </m:den>
                </m:f>
              </m:e>
            </m:d>
            <m:r>
              <w:rPr>
                <w:rFonts w:ascii="Cambria Math" w:hAnsi="Cambria Math"/>
              </w:rPr>
              <m:t>×</m:t>
            </m:r>
            <m:d>
              <m:dPr>
                <m:ctrlPr>
                  <w:rPr>
                    <w:rFonts w:ascii="Cambria Math" w:hAnsi="Cambria Math"/>
                    <w:i/>
                  </w:rPr>
                </m:ctrlPr>
              </m:dPr>
              <m:e>
                <m:r>
                  <w:rPr>
                    <w:rFonts w:ascii="Cambria Math" w:hAnsi="Cambria Math"/>
                  </w:rPr>
                  <m:t>0.99</m:t>
                </m:r>
                <m:f>
                  <m:fPr>
                    <m:ctrlPr>
                      <w:rPr>
                        <w:rFonts w:ascii="Cambria Math" w:hAnsi="Cambria Math"/>
                        <w:i/>
                      </w:rPr>
                    </m:ctrlPr>
                  </m:fPr>
                  <m:num>
                    <m:r>
                      <w:rPr>
                        <w:rFonts w:ascii="Cambria Math" w:hAnsi="Cambria Math"/>
                      </w:rPr>
                      <m:t>kWh</m:t>
                    </m:r>
                  </m:num>
                  <m:den>
                    <m:r>
                      <w:rPr>
                        <w:rFonts w:ascii="Cambria Math" w:hAnsi="Cambria Math"/>
                      </w:rPr>
                      <m:t>kWh</m:t>
                    </m:r>
                  </m:den>
                </m:f>
              </m:e>
            </m:d>
          </m:num>
          <m:den>
            <m:r>
              <w:rPr>
                <w:rFonts w:ascii="Cambria Math" w:hAnsi="Cambria Math"/>
              </w:rPr>
              <m:t>1000</m:t>
            </m:r>
            <m:f>
              <m:fPr>
                <m:ctrlPr>
                  <w:rPr>
                    <w:rFonts w:ascii="Cambria Math" w:hAnsi="Cambria Math"/>
                    <w:i/>
                  </w:rPr>
                </m:ctrlPr>
              </m:fPr>
              <m:num>
                <m:r>
                  <w:rPr>
                    <w:rFonts w:ascii="Cambria Math" w:hAnsi="Cambria Math"/>
                  </w:rPr>
                  <m:t>Watts</m:t>
                </m:r>
              </m:num>
              <m:den>
                <m:r>
                  <w:rPr>
                    <w:rFonts w:ascii="Cambria Math" w:hAnsi="Cambria Math"/>
                  </w:rPr>
                  <m:t>kW</m:t>
                </m:r>
              </m:den>
            </m:f>
          </m:den>
        </m:f>
        <m:r>
          <w:rPr>
            <w:rFonts w:ascii="Cambria Math" w:hAnsi="Cambria Math"/>
          </w:rPr>
          <m:t>=39.3 kWh</m:t>
        </m:r>
      </m:oMath>
      <w:r>
        <w:t xml:space="preserve"> </w:t>
      </w:r>
    </w:p>
    <w:p w:rsidR="00A87324" w:rsidRDefault="00A87324" w:rsidP="000C5F62">
      <w:pPr>
        <w:rPr>
          <w:b/>
          <w:u w:val="single"/>
        </w:rPr>
      </w:pPr>
    </w:p>
    <w:p w:rsidR="000C5F62" w:rsidRPr="008B1123" w:rsidRDefault="00533C09" w:rsidP="000C5F62">
      <w:pPr>
        <w:rPr>
          <w:b/>
          <w:u w:val="single"/>
        </w:rPr>
      </w:pPr>
      <w:r w:rsidRPr="008B1123">
        <w:rPr>
          <w:b/>
          <w:u w:val="single"/>
        </w:rPr>
        <w:t>L</w:t>
      </w:r>
      <w:r w:rsidR="002123F8" w:rsidRPr="008B1123">
        <w:rPr>
          <w:b/>
          <w:u w:val="single"/>
        </w:rPr>
        <w:t>856</w:t>
      </w:r>
    </w:p>
    <w:p w:rsidR="00821520" w:rsidRDefault="002F0168" w:rsidP="00821520">
      <w:r>
        <w:t>The base case wattage uses the</w:t>
      </w:r>
      <w:r w:rsidRPr="008202A2">
        <w:t xml:space="preserve"> 201</w:t>
      </w:r>
      <w:r>
        <w:t>4</w:t>
      </w:r>
      <w:r w:rsidRPr="008202A2">
        <w:t xml:space="preserve"> DEER wattage reduction ratio for compact fluorescent </w:t>
      </w:r>
      <w:r>
        <w:t>fixtures</w:t>
      </w:r>
      <w:r w:rsidRPr="008202A2">
        <w:t xml:space="preserve"> of </w:t>
      </w:r>
      <w:r>
        <w:t xml:space="preserve">3.53.  </w:t>
      </w:r>
      <w:r w:rsidR="007B27CC">
        <w:t xml:space="preserve">The hours and IE are based on lighting retrofit disposition December 14, 2013 for interior multifamily common area for CFL fixtures. </w:t>
      </w:r>
      <w:r w:rsidR="008202A2" w:rsidRPr="008202A2">
        <w:t xml:space="preserve"> </w:t>
      </w:r>
    </w:p>
    <w:p w:rsidR="002F0168" w:rsidRDefault="002F0168" w:rsidP="00821520"/>
    <w:p w:rsidR="004B56D1" w:rsidRPr="00821520" w:rsidRDefault="007B27CC" w:rsidP="00DB1214">
      <w:pPr>
        <w:rPr>
          <w:sz w:val="20"/>
          <w:szCs w:val="20"/>
        </w:rPr>
      </w:pPr>
      <m:oMathPara>
        <m:oMath>
          <m:r>
            <w:rPr>
              <w:rFonts w:ascii="Cambria Math" w:hAnsi="Cambria Math"/>
              <w:sz w:val="18"/>
              <w:szCs w:val="18"/>
            </w:rPr>
            <m:t xml:space="preserve">Annual Energy Savings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f>
            <m:fPr>
              <m:ctrlPr>
                <w:rPr>
                  <w:rFonts w:ascii="Cambria Math" w:hAnsi="Cambria Math"/>
                  <w:i/>
                  <w:sz w:val="18"/>
                  <w:szCs w:val="18"/>
                </w:rPr>
              </m:ctrlPr>
            </m:fPr>
            <m:num>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∆Watts</m:t>
                      </m:r>
                    </m:num>
                    <m:den>
                      <m:r>
                        <w:rPr>
                          <w:rFonts w:ascii="Cambria Math" w:hAnsi="Cambria Math"/>
                          <w:sz w:val="18"/>
                          <w:szCs w:val="18"/>
                        </w:rPr>
                        <m:t>unit</m:t>
                      </m:r>
                    </m:den>
                  </m:f>
                </m:e>
              </m:d>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res interior common area hours</m:t>
                      </m:r>
                    </m:num>
                    <m:den>
                      <m:r>
                        <w:rPr>
                          <w:rFonts w:ascii="Cambria Math" w:hAnsi="Cambria Math"/>
                          <w:sz w:val="18"/>
                          <w:szCs w:val="18"/>
                        </w:rPr>
                        <m:t>yr</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int. effects factor</m:t>
                  </m:r>
                </m:e>
              </m:d>
            </m:num>
            <m:den>
              <m:r>
                <w:rPr>
                  <w:rFonts w:ascii="Cambria Math" w:hAnsi="Cambria Math"/>
                  <w:sz w:val="18"/>
                  <w:szCs w:val="18"/>
                </w:rPr>
                <m:t>1000</m:t>
              </m:r>
              <m:f>
                <m:fPr>
                  <m:ctrlPr>
                    <w:rPr>
                      <w:rFonts w:ascii="Cambria Math" w:hAnsi="Cambria Math"/>
                      <w:i/>
                      <w:sz w:val="18"/>
                      <w:szCs w:val="18"/>
                    </w:rPr>
                  </m:ctrlPr>
                </m:fPr>
                <m:num>
                  <m:r>
                    <w:rPr>
                      <w:rFonts w:ascii="Cambria Math" w:hAnsi="Cambria Math"/>
                      <w:sz w:val="18"/>
                      <w:szCs w:val="18"/>
                    </w:rPr>
                    <m:t>Watts</m:t>
                  </m:r>
                </m:num>
                <m:den>
                  <m:r>
                    <w:rPr>
                      <w:rFonts w:ascii="Cambria Math" w:hAnsi="Cambria Math"/>
                      <w:sz w:val="18"/>
                      <w:szCs w:val="18"/>
                    </w:rPr>
                    <m:t>kW</m:t>
                  </m:r>
                </m:den>
              </m:f>
            </m:den>
          </m:f>
        </m:oMath>
      </m:oMathPara>
    </w:p>
    <w:p w:rsidR="00176026" w:rsidRDefault="00176026" w:rsidP="004B56D1">
      <w:pPr>
        <w:ind w:left="720"/>
        <w:jc w:val="center"/>
      </w:pPr>
    </w:p>
    <w:p w:rsidR="0094170E" w:rsidRPr="00176026" w:rsidRDefault="0094170E" w:rsidP="004B56D1">
      <w:pPr>
        <w:ind w:left="720"/>
        <w:jc w:val="center"/>
        <w:rPr>
          <w:sz w:val="20"/>
          <w:szCs w:val="20"/>
        </w:rPr>
      </w:pPr>
    </w:p>
    <w:p w:rsidR="004B56D1" w:rsidRDefault="00DB1214" w:rsidP="004B56D1">
      <w:pPr>
        <w:ind w:left="720"/>
        <w:jc w:val="center"/>
      </w:pPr>
      <m:oMathPara>
        <m:oMath>
          <m:r>
            <w:rPr>
              <w:rFonts w:ascii="Cambria Math" w:hAnsi="Cambria Math"/>
            </w:rPr>
            <m:t xml:space="preserve">Annual Energy Savings </m:t>
          </m:r>
          <m:d>
            <m:dPr>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lamp</m:t>
                  </m:r>
                </m:den>
              </m:f>
            </m:e>
          </m:d>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29*3.53 W-29 W</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 xml:space="preserve">6142 </m:t>
                      </m:r>
                      <m:r>
                        <w:rPr>
                          <w:rFonts w:ascii="Cambria Math" w:hAnsi="Cambria Math"/>
                        </w:rPr>
                        <m:t>hrs</m:t>
                      </m:r>
                    </m:num>
                    <m:den>
                      <m:r>
                        <w:rPr>
                          <w:rFonts w:ascii="Cambria Math" w:hAnsi="Cambria Math"/>
                        </w:rPr>
                        <m:t>yr</m:t>
                      </m:r>
                    </m:den>
                  </m:f>
                </m:e>
              </m:d>
              <m:r>
                <w:rPr>
                  <w:rFonts w:ascii="Cambria Math" w:hAnsi="Cambria Math"/>
                </w:rPr>
                <m:t>×</m:t>
              </m:r>
              <m:d>
                <m:dPr>
                  <m:ctrlPr>
                    <w:rPr>
                      <w:rFonts w:ascii="Cambria Math" w:hAnsi="Cambria Math"/>
                      <w:i/>
                    </w:rPr>
                  </m:ctrlPr>
                </m:dPr>
                <m:e>
                  <m:r>
                    <w:rPr>
                      <w:rFonts w:ascii="Cambria Math" w:hAnsi="Cambria Math"/>
                    </w:rPr>
                    <m:t>0.99</m:t>
                  </m:r>
                  <m:f>
                    <m:fPr>
                      <m:ctrlPr>
                        <w:rPr>
                          <w:rFonts w:ascii="Cambria Math" w:hAnsi="Cambria Math"/>
                          <w:i/>
                        </w:rPr>
                      </m:ctrlPr>
                    </m:fPr>
                    <m:num>
                      <m:r>
                        <w:rPr>
                          <w:rFonts w:ascii="Cambria Math" w:hAnsi="Cambria Math"/>
                        </w:rPr>
                        <m:t>kWh</m:t>
                      </m:r>
                    </m:num>
                    <m:den>
                      <m:r>
                        <w:rPr>
                          <w:rFonts w:ascii="Cambria Math" w:hAnsi="Cambria Math"/>
                        </w:rPr>
                        <m:t>kWh</m:t>
                      </m:r>
                    </m:den>
                  </m:f>
                </m:e>
              </m:d>
            </m:num>
            <m:den>
              <m:r>
                <w:rPr>
                  <w:rFonts w:ascii="Cambria Math" w:hAnsi="Cambria Math"/>
                </w:rPr>
                <m:t>1000</m:t>
              </m:r>
              <m:f>
                <m:fPr>
                  <m:ctrlPr>
                    <w:rPr>
                      <w:rFonts w:ascii="Cambria Math" w:hAnsi="Cambria Math"/>
                      <w:i/>
                    </w:rPr>
                  </m:ctrlPr>
                </m:fPr>
                <m:num>
                  <m:r>
                    <w:rPr>
                      <w:rFonts w:ascii="Cambria Math" w:hAnsi="Cambria Math"/>
                    </w:rPr>
                    <m:t>Watts</m:t>
                  </m:r>
                </m:num>
                <m:den>
                  <m:r>
                    <w:rPr>
                      <w:rFonts w:ascii="Cambria Math" w:hAnsi="Cambria Math"/>
                    </w:rPr>
                    <m:t>kW</m:t>
                  </m:r>
                </m:den>
              </m:f>
            </m:den>
          </m:f>
          <m:r>
            <w:rPr>
              <w:rFonts w:ascii="Cambria Math" w:hAnsi="Cambria Math"/>
            </w:rPr>
            <m:t xml:space="preserve">=446 </m:t>
          </m:r>
          <m:f>
            <m:fPr>
              <m:ctrlPr>
                <w:rPr>
                  <w:rFonts w:ascii="Cambria Math" w:hAnsi="Cambria Math"/>
                  <w:i/>
                </w:rPr>
              </m:ctrlPr>
            </m:fPr>
            <m:num>
              <m:r>
                <w:rPr>
                  <w:rFonts w:ascii="Cambria Math" w:hAnsi="Cambria Math"/>
                </w:rPr>
                <m:t>kwh</m:t>
              </m:r>
            </m:num>
            <m:den>
              <m:r>
                <w:rPr>
                  <w:rFonts w:ascii="Cambria Math" w:hAnsi="Cambria Math"/>
                </w:rPr>
                <m:t>yr</m:t>
              </m:r>
            </m:den>
          </m:f>
        </m:oMath>
      </m:oMathPara>
    </w:p>
    <w:p w:rsidR="002F0168" w:rsidRPr="0094170E" w:rsidRDefault="002F0168" w:rsidP="004B56D1">
      <w:pPr>
        <w:ind w:left="720"/>
        <w:jc w:val="center"/>
      </w:pPr>
    </w:p>
    <w:p w:rsidR="006531F2" w:rsidRPr="008B1123" w:rsidRDefault="006531F2" w:rsidP="00B70B1C">
      <w:pPr>
        <w:pStyle w:val="Heading2"/>
        <w:keepNext w:val="0"/>
      </w:pPr>
      <w:bookmarkStart w:id="68" w:name="_Toc191278376"/>
      <w:bookmarkStart w:id="69" w:name="_Toc436822598"/>
      <w:r w:rsidRPr="008B1123">
        <w:t>2.2. Demand Reduction Estimation Methodologies</w:t>
      </w:r>
      <w:bookmarkEnd w:id="68"/>
      <w:bookmarkEnd w:id="69"/>
    </w:p>
    <w:p w:rsidR="00DB1214" w:rsidRPr="0037249D" w:rsidRDefault="00EB7431" w:rsidP="00B968CF">
      <w:r>
        <w:t>The demand savings estimation methodology followed the same methodology in DEER 2016 for measure delta wattage.  The values for coincident demand factor and HVAC demand interactive effect factors are based on the 2015 Uncertain Measures Update.</w:t>
      </w:r>
    </w:p>
    <w:p w:rsidR="00DB1214" w:rsidRPr="0037249D" w:rsidRDefault="00DB1214" w:rsidP="00B968CF">
      <w:pPr>
        <w:rPr>
          <w:color w:val="0000FF"/>
        </w:rPr>
      </w:pPr>
    </w:p>
    <w:p w:rsidR="008D47DC" w:rsidRPr="0037249D" w:rsidRDefault="004F5A85" w:rsidP="004F5A85">
      <w:pPr>
        <w:rPr>
          <w:b/>
          <w:u w:val="single"/>
        </w:rPr>
      </w:pPr>
      <w:r w:rsidRPr="0037249D">
        <w:rPr>
          <w:b/>
          <w:u w:val="single"/>
        </w:rPr>
        <w:t>L809</w:t>
      </w:r>
      <w:r w:rsidR="0094170E" w:rsidRPr="0037249D">
        <w:rPr>
          <w:b/>
          <w:u w:val="single"/>
        </w:rPr>
        <w:t xml:space="preserve"> </w:t>
      </w:r>
    </w:p>
    <w:p w:rsidR="004F5A85" w:rsidRPr="00EB7431" w:rsidRDefault="004F5A85" w:rsidP="004F5A85">
      <w:r w:rsidRPr="0037249D">
        <w:t xml:space="preserve">The </w:t>
      </w:r>
      <w:r w:rsidR="008B1123" w:rsidRPr="0037249D">
        <w:t xml:space="preserve">peak </w:t>
      </w:r>
      <w:r w:rsidRPr="0037249D">
        <w:t xml:space="preserve">demand savings </w:t>
      </w:r>
      <w:r w:rsidR="004B56D1" w:rsidRPr="0037249D">
        <w:t>were calculated using the 201</w:t>
      </w:r>
      <w:r w:rsidR="00DB1214" w:rsidRPr="0037249D">
        <w:t>4</w:t>
      </w:r>
      <w:r w:rsidR="0094170E" w:rsidRPr="0037249D">
        <w:t xml:space="preserve"> </w:t>
      </w:r>
      <w:r w:rsidR="004B56D1" w:rsidRPr="0037249D">
        <w:t>DEER peak demand factor for multifamily buildings</w:t>
      </w:r>
      <w:r w:rsidR="00EB7431">
        <w:t>.</w:t>
      </w:r>
    </w:p>
    <w:p w:rsidR="0094170E" w:rsidRPr="0037249D" w:rsidRDefault="0094170E" w:rsidP="004F5A85"/>
    <w:p w:rsidR="0094170E" w:rsidRPr="00EB7431" w:rsidRDefault="0094170E" w:rsidP="004F5A85">
      <w:pPr>
        <w:rPr>
          <w:sz w:val="20"/>
          <w:szCs w:val="20"/>
        </w:rPr>
      </w:pPr>
      <m:oMathPara>
        <m:oMath>
          <m:r>
            <w:rPr>
              <w:rFonts w:ascii="Cambria Math" w:hAnsi="Cambria Math"/>
              <w:sz w:val="20"/>
              <w:szCs w:val="20"/>
            </w:rPr>
            <m:t xml:space="preserve">Annual Demand Savings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lamp</m:t>
                  </m:r>
                </m:den>
              </m:f>
            </m:e>
          </m:d>
          <m:r>
            <w:rPr>
              <w:rFonts w:ascii="Cambria Math" w:hAns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∆Watts</m:t>
                      </m:r>
                    </m:num>
                    <m:den>
                      <m:r>
                        <w:rPr>
                          <w:rFonts w:ascii="Cambria Math" w:hAnsi="Cambria Math"/>
                          <w:sz w:val="20"/>
                          <w:szCs w:val="20"/>
                        </w:rPr>
                        <m:t>unit</m:t>
                      </m:r>
                    </m:den>
                  </m:f>
                </m:e>
              </m:d>
              <m:r>
                <w:rPr>
                  <w:rFonts w:ascii="Cambria Math" w:hAnsi="Cambria Math"/>
                  <w:sz w:val="20"/>
                  <w:szCs w:val="20"/>
                </w:rPr>
                <m:t>*(Coincident demand factor)*</m:t>
              </m:r>
              <m:d>
                <m:dPr>
                  <m:ctrlPr>
                    <w:rPr>
                      <w:rFonts w:ascii="Cambria Math" w:hAnsi="Cambria Math"/>
                      <w:i/>
                      <w:sz w:val="20"/>
                      <w:szCs w:val="20"/>
                    </w:rPr>
                  </m:ctrlPr>
                </m:dPr>
                <m:e>
                  <m:r>
                    <w:rPr>
                      <w:rFonts w:ascii="Cambria Math" w:hAnsi="Cambria Math"/>
                      <w:sz w:val="20"/>
                      <w:szCs w:val="20"/>
                    </w:rPr>
                    <m:t>demand IE factor</m:t>
                  </m:r>
                </m:e>
              </m:d>
            </m:num>
            <m:den>
              <m:r>
                <w:rPr>
                  <w:rFonts w:ascii="Cambria Math" w:hAnsi="Cambria Math"/>
                  <w:sz w:val="20"/>
                  <w:szCs w:val="20"/>
                </w:rPr>
                <m:t>1000</m:t>
              </m:r>
              <m:f>
                <m:fPr>
                  <m:ctrlPr>
                    <w:rPr>
                      <w:rFonts w:ascii="Cambria Math" w:hAnsi="Cambria Math"/>
                      <w:i/>
                      <w:sz w:val="20"/>
                      <w:szCs w:val="20"/>
                    </w:rPr>
                  </m:ctrlPr>
                </m:fPr>
                <m:num>
                  <m:r>
                    <w:rPr>
                      <w:rFonts w:ascii="Cambria Math" w:hAnsi="Cambria Math"/>
                      <w:sz w:val="20"/>
                      <w:szCs w:val="20"/>
                    </w:rPr>
                    <m:t>Wat</m:t>
                  </m:r>
                  <m:r>
                    <w:rPr>
                      <w:rFonts w:ascii="Cambria Math" w:hAnsi="Cambria Math"/>
                      <w:sz w:val="20"/>
                      <w:szCs w:val="20"/>
                    </w:rPr>
                    <m:t>ts</m:t>
                  </m:r>
                </m:num>
                <m:den>
                  <m:r>
                    <w:rPr>
                      <w:rFonts w:ascii="Cambria Math" w:hAnsi="Cambria Math"/>
                      <w:sz w:val="20"/>
                      <w:szCs w:val="20"/>
                    </w:rPr>
                    <m:t>kW</m:t>
                  </m:r>
                </m:den>
              </m:f>
            </m:den>
          </m:f>
        </m:oMath>
      </m:oMathPara>
    </w:p>
    <w:p w:rsidR="00EB7431" w:rsidRDefault="00EB7431" w:rsidP="004F5A85">
      <w:pPr>
        <w:rPr>
          <w:sz w:val="20"/>
          <w:szCs w:val="20"/>
        </w:rPr>
      </w:pPr>
    </w:p>
    <w:p w:rsidR="00EB7431" w:rsidRPr="00EB7431" w:rsidRDefault="00EB7431" w:rsidP="004F5A85">
      <w:pPr>
        <w:rPr>
          <w:sz w:val="20"/>
          <w:szCs w:val="20"/>
        </w:rPr>
      </w:pPr>
    </w:p>
    <w:p w:rsidR="00EB7431" w:rsidRDefault="00EB7431" w:rsidP="004F5A85">
      <w:pPr>
        <w:rPr>
          <w:sz w:val="20"/>
          <w:szCs w:val="20"/>
        </w:rPr>
      </w:pPr>
    </w:p>
    <w:p w:rsidR="00EB7431" w:rsidRPr="008D47DC" w:rsidRDefault="00EB7431" w:rsidP="004F5A85">
      <w:pPr>
        <w:rPr>
          <w:sz w:val="20"/>
          <w:szCs w:val="20"/>
        </w:rPr>
      </w:pPr>
      <m:oMathPara>
        <m:oMath>
          <m:r>
            <w:rPr>
              <w:rFonts w:ascii="Cambria Math" w:hAnsi="Cambria Math"/>
              <w:sz w:val="20"/>
              <w:szCs w:val="20"/>
            </w:rPr>
            <m:t xml:space="preserve">Annual Demand Savings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lamp</m:t>
                  </m:r>
                </m:den>
              </m:f>
            </m:e>
          </m:d>
          <m:r>
            <w:rPr>
              <w:rFonts w:ascii="Cambria Math" w:hAns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29*3.53-29W</m:t>
                  </m:r>
                </m:e>
              </m:d>
              <m:r>
                <w:rPr>
                  <w:rFonts w:ascii="Cambria Math" w:hAnsi="Cambria Math"/>
                  <w:sz w:val="20"/>
                  <w:szCs w:val="20"/>
                </w:rPr>
                <m:t>*(0.044)*</m:t>
              </m:r>
              <m:d>
                <m:dPr>
                  <m:ctrlPr>
                    <w:rPr>
                      <w:rFonts w:ascii="Cambria Math" w:hAnsi="Cambria Math"/>
                      <w:i/>
                      <w:sz w:val="20"/>
                      <w:szCs w:val="20"/>
                    </w:rPr>
                  </m:ctrlPr>
                </m:dPr>
                <m:e>
                  <m:r>
                    <w:rPr>
                      <w:rFonts w:ascii="Cambria Math" w:hAnsi="Cambria Math"/>
                      <w:sz w:val="20"/>
                      <w:szCs w:val="20"/>
                    </w:rPr>
                    <m:t>1.22</m:t>
                  </m:r>
                </m:e>
              </m:d>
            </m:num>
            <m:den>
              <m:r>
                <w:rPr>
                  <w:rFonts w:ascii="Cambria Math" w:hAnsi="Cambria Math"/>
                  <w:sz w:val="20"/>
                  <w:szCs w:val="20"/>
                </w:rPr>
                <m:t>1000</m:t>
              </m:r>
              <m:f>
                <m:fPr>
                  <m:ctrlPr>
                    <w:rPr>
                      <w:rFonts w:ascii="Cambria Math" w:hAnsi="Cambria Math"/>
                      <w:i/>
                      <w:sz w:val="20"/>
                      <w:szCs w:val="20"/>
                    </w:rPr>
                  </m:ctrlPr>
                </m:fPr>
                <m:num>
                  <m:r>
                    <w:rPr>
                      <w:rFonts w:ascii="Cambria Math" w:hAnsi="Cambria Math"/>
                      <w:sz w:val="20"/>
                      <w:szCs w:val="20"/>
                    </w:rPr>
                    <m:t>Watts</m:t>
                  </m:r>
                </m:num>
                <m:den>
                  <m:r>
                    <w:rPr>
                      <w:rFonts w:ascii="Cambria Math" w:hAnsi="Cambria Math"/>
                      <w:sz w:val="20"/>
                      <w:szCs w:val="20"/>
                    </w:rPr>
                    <m:t>kW</m:t>
                  </m:r>
                </m:den>
              </m:f>
            </m:den>
          </m:f>
          <m:r>
            <w:rPr>
              <w:rFonts w:ascii="Cambria Math" w:hAnsi="Cambria Math"/>
              <w:sz w:val="20"/>
              <w:szCs w:val="20"/>
            </w:rPr>
            <m:t>=0.00394</m:t>
          </m:r>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yr</m:t>
              </m:r>
            </m:den>
          </m:f>
        </m:oMath>
      </m:oMathPara>
    </w:p>
    <w:p w:rsidR="0094170E" w:rsidRPr="008D47DC" w:rsidRDefault="0094170E" w:rsidP="004F5A85">
      <w:pPr>
        <w:rPr>
          <w:sz w:val="20"/>
          <w:szCs w:val="20"/>
        </w:rPr>
      </w:pPr>
    </w:p>
    <w:p w:rsidR="008771CD" w:rsidRPr="008B1123" w:rsidRDefault="008771CD" w:rsidP="008771CD">
      <w:pPr>
        <w:rPr>
          <w:b/>
          <w:u w:val="single"/>
        </w:rPr>
      </w:pPr>
      <w:r w:rsidRPr="008B1123">
        <w:rPr>
          <w:b/>
          <w:u w:val="single"/>
        </w:rPr>
        <w:t>L856</w:t>
      </w:r>
    </w:p>
    <w:p w:rsidR="008771CD" w:rsidRDefault="00DB1214" w:rsidP="008771CD">
      <w:r>
        <w:t xml:space="preserve">The CDF and IE are based on lighting retrofit disposition December 14, 2013 for interior multifamily common area for CFL fixtures. </w:t>
      </w:r>
      <w:r w:rsidRPr="008202A2">
        <w:t xml:space="preserve"> </w:t>
      </w:r>
    </w:p>
    <w:p w:rsidR="008771CD" w:rsidRDefault="008771CD" w:rsidP="008771CD"/>
    <w:p w:rsidR="008771CD" w:rsidRPr="00EB7431" w:rsidRDefault="008771CD" w:rsidP="008771CD">
      <w:pPr>
        <w:rPr>
          <w:sz w:val="20"/>
          <w:szCs w:val="20"/>
        </w:rPr>
      </w:pPr>
      <m:oMathPara>
        <m:oMath>
          <m:r>
            <w:rPr>
              <w:rFonts w:ascii="Cambria Math" w:hAnsi="Cambria Math"/>
              <w:sz w:val="20"/>
              <w:szCs w:val="20"/>
            </w:rPr>
            <m:t xml:space="preserve">Annual Demand Savings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lamp</m:t>
                  </m:r>
                </m:den>
              </m:f>
            </m:e>
          </m:d>
          <m:r>
            <w:rPr>
              <w:rFonts w:ascii="Cambria Math" w:hAns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∆Watts</m:t>
                      </m:r>
                    </m:num>
                    <m:den>
                      <m:r>
                        <w:rPr>
                          <w:rFonts w:ascii="Cambria Math" w:hAnsi="Cambria Math"/>
                          <w:sz w:val="20"/>
                          <w:szCs w:val="20"/>
                        </w:rPr>
                        <m:t>unit</m:t>
                      </m:r>
                    </m:den>
                  </m:f>
                </m:e>
              </m:d>
              <m:r>
                <w:rPr>
                  <w:rFonts w:ascii="Cambria Math" w:hAnsi="Cambria Math"/>
                  <w:sz w:val="20"/>
                  <w:szCs w:val="20"/>
                </w:rPr>
                <m:t>*Coincident demand factor*demand IE factor</m:t>
              </m:r>
            </m:num>
            <m:den>
              <m:r>
                <w:rPr>
                  <w:rFonts w:ascii="Cambria Math" w:hAnsi="Cambria Math"/>
                  <w:sz w:val="20"/>
                  <w:szCs w:val="20"/>
                </w:rPr>
                <m:t>1000</m:t>
              </m:r>
              <m:f>
                <m:fPr>
                  <m:ctrlPr>
                    <w:rPr>
                      <w:rFonts w:ascii="Cambria Math" w:hAnsi="Cambria Math"/>
                      <w:i/>
                      <w:sz w:val="20"/>
                      <w:szCs w:val="20"/>
                    </w:rPr>
                  </m:ctrlPr>
                </m:fPr>
                <m:num>
                  <m:r>
                    <w:rPr>
                      <w:rFonts w:ascii="Cambria Math" w:hAnsi="Cambria Math"/>
                      <w:sz w:val="20"/>
                      <w:szCs w:val="20"/>
                    </w:rPr>
                    <m:t>Watts</m:t>
                  </m:r>
                </m:num>
                <m:den>
                  <m:r>
                    <w:rPr>
                      <w:rFonts w:ascii="Cambria Math" w:hAnsi="Cambria Math"/>
                      <w:sz w:val="20"/>
                      <w:szCs w:val="20"/>
                    </w:rPr>
                    <m:t>kW</m:t>
                  </m:r>
                </m:den>
              </m:f>
            </m:den>
          </m:f>
        </m:oMath>
      </m:oMathPara>
    </w:p>
    <w:p w:rsidR="00EB7431" w:rsidRPr="00EB7431" w:rsidRDefault="00EB7431" w:rsidP="008771CD">
      <w:pPr>
        <w:rPr>
          <w:sz w:val="20"/>
          <w:szCs w:val="20"/>
        </w:rPr>
      </w:pPr>
    </w:p>
    <w:p w:rsidR="00EB7431" w:rsidRDefault="00EB7431" w:rsidP="008771CD">
      <w:pPr>
        <w:rPr>
          <w:sz w:val="20"/>
          <w:szCs w:val="20"/>
        </w:rPr>
      </w:pPr>
    </w:p>
    <w:p w:rsidR="00EB7431" w:rsidRPr="008D47DC" w:rsidRDefault="00EB7431" w:rsidP="008771CD">
      <w:pPr>
        <w:rPr>
          <w:sz w:val="20"/>
          <w:szCs w:val="20"/>
        </w:rPr>
      </w:pPr>
      <m:oMathPara>
        <m:oMath>
          <m:r>
            <w:rPr>
              <w:rFonts w:ascii="Cambria Math" w:hAnsi="Cambria Math"/>
              <w:sz w:val="20"/>
              <w:szCs w:val="20"/>
            </w:rPr>
            <m:t xml:space="preserve">Annual Demand Savings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lamp</m:t>
                  </m:r>
                </m:den>
              </m:f>
            </m:e>
          </m:d>
          <m:r>
            <w:rPr>
              <w:rFonts w:ascii="Cambria Math" w:hAns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29*3.53-29W</m:t>
                  </m:r>
                </m:e>
              </m:d>
              <m:r>
                <w:rPr>
                  <w:rFonts w:ascii="Cambria Math" w:hAnsi="Cambria Math"/>
                  <w:sz w:val="20"/>
                  <w:szCs w:val="20"/>
                </w:rPr>
                <m:t>*(0.7)*</m:t>
              </m:r>
              <m:d>
                <m:dPr>
                  <m:ctrlPr>
                    <w:rPr>
                      <w:rFonts w:ascii="Cambria Math" w:hAnsi="Cambria Math"/>
                      <w:i/>
                      <w:sz w:val="20"/>
                      <w:szCs w:val="20"/>
                    </w:rPr>
                  </m:ctrlPr>
                </m:dPr>
                <m:e>
                  <m:r>
                    <w:rPr>
                      <w:rFonts w:ascii="Cambria Math" w:hAnsi="Cambria Math"/>
                      <w:sz w:val="20"/>
                      <w:szCs w:val="20"/>
                    </w:rPr>
                    <m:t>1.22</m:t>
                  </m:r>
                </m:e>
              </m:d>
            </m:num>
            <m:den>
              <m:r>
                <w:rPr>
                  <w:rFonts w:ascii="Cambria Math" w:hAnsi="Cambria Math"/>
                  <w:sz w:val="20"/>
                  <w:szCs w:val="20"/>
                </w:rPr>
                <m:t>1000</m:t>
              </m:r>
              <m:f>
                <m:fPr>
                  <m:ctrlPr>
                    <w:rPr>
                      <w:rFonts w:ascii="Cambria Math" w:hAnsi="Cambria Math"/>
                      <w:i/>
                      <w:sz w:val="20"/>
                      <w:szCs w:val="20"/>
                    </w:rPr>
                  </m:ctrlPr>
                </m:fPr>
                <m:num>
                  <m:r>
                    <w:rPr>
                      <w:rFonts w:ascii="Cambria Math" w:hAnsi="Cambria Math"/>
                      <w:sz w:val="20"/>
                      <w:szCs w:val="20"/>
                    </w:rPr>
                    <m:t>Watts</m:t>
                  </m:r>
                </m:num>
                <m:den>
                  <m:r>
                    <w:rPr>
                      <w:rFonts w:ascii="Cambria Math" w:hAnsi="Cambria Math"/>
                      <w:sz w:val="20"/>
                      <w:szCs w:val="20"/>
                    </w:rPr>
                    <m:t>kW</m:t>
                  </m:r>
                </m:den>
              </m:f>
            </m:den>
          </m:f>
          <m:r>
            <w:rPr>
              <w:rFonts w:ascii="Cambria Math" w:hAnsi="Cambria Math"/>
              <w:sz w:val="20"/>
              <w:szCs w:val="20"/>
            </w:rPr>
            <m:t>=0.0627</m:t>
          </m:r>
          <m:f>
            <m:fPr>
              <m:ctrlPr>
                <w:rPr>
                  <w:rFonts w:ascii="Cambria Math" w:hAnsi="Cambria Math"/>
                  <w:i/>
                  <w:sz w:val="20"/>
                  <w:szCs w:val="20"/>
                </w:rPr>
              </m:ctrlPr>
            </m:fPr>
            <m:num>
              <m:r>
                <w:rPr>
                  <w:rFonts w:ascii="Cambria Math" w:hAnsi="Cambria Math"/>
                  <w:sz w:val="20"/>
                  <w:szCs w:val="20"/>
                </w:rPr>
                <m:t>kW</m:t>
              </m:r>
            </m:num>
            <m:den>
              <m:r>
                <w:rPr>
                  <w:rFonts w:ascii="Cambria Math" w:hAnsi="Cambria Math"/>
                  <w:sz w:val="20"/>
                  <w:szCs w:val="20"/>
                </w:rPr>
                <m:t>yr</m:t>
              </m:r>
            </m:den>
          </m:f>
        </m:oMath>
      </m:oMathPara>
    </w:p>
    <w:p w:rsidR="008771CD" w:rsidRPr="0094170E" w:rsidRDefault="008771CD" w:rsidP="008771CD"/>
    <w:p w:rsidR="006531F2" w:rsidRPr="008B1123" w:rsidRDefault="006531F2" w:rsidP="00B70B1C">
      <w:pPr>
        <w:pStyle w:val="Heading2"/>
      </w:pPr>
      <w:bookmarkStart w:id="70" w:name="_Toc191278377"/>
      <w:bookmarkStart w:id="71" w:name="_Toc436822599"/>
      <w:r w:rsidRPr="008B1123">
        <w:t xml:space="preserve">2.3. Gas </w:t>
      </w:r>
      <w:r w:rsidR="00FF16D2" w:rsidRPr="008B1123">
        <w:t>Impacts</w:t>
      </w:r>
      <w:r w:rsidRPr="008B1123">
        <w:t xml:space="preserve"> Estimation Methodologies</w:t>
      </w:r>
      <w:bookmarkEnd w:id="70"/>
      <w:bookmarkEnd w:id="71"/>
    </w:p>
    <w:p w:rsidR="00DB1214" w:rsidRPr="00EB7431" w:rsidRDefault="00EB7431" w:rsidP="00DB1214">
      <w:pPr>
        <w:ind w:right="540"/>
        <w:rPr>
          <w:sz w:val="20"/>
          <w:szCs w:val="20"/>
        </w:rPr>
      </w:pPr>
      <w:r>
        <w:rPr>
          <w:szCs w:val="20"/>
        </w:rPr>
        <w:t>The gas savings methodology follows the same methodology in DEER 2016.  The following formula is used to calculate the gas savings:</w:t>
      </w:r>
    </w:p>
    <w:p w:rsidR="00DB1214" w:rsidRPr="00746B00" w:rsidRDefault="00DB1214" w:rsidP="00DB1214">
      <w:pPr>
        <w:ind w:right="540"/>
        <w:rPr>
          <w:rFonts w:ascii="Arial" w:hAnsi="Arial" w:cs="Arial"/>
        </w:rPr>
      </w:pPr>
    </w:p>
    <w:p w:rsidR="00EB7431" w:rsidRDefault="00DB1214" w:rsidP="00DB1214">
      <w:pPr>
        <w:ind w:right="540"/>
        <w:rPr>
          <w:rFonts w:ascii="Arial" w:hAnsi="Arial" w:cs="Arial"/>
        </w:rPr>
      </w:pPr>
      <w:r w:rsidRPr="00746B00">
        <w:rPr>
          <w:rFonts w:ascii="Arial" w:hAnsi="Arial" w:cs="Arial"/>
          <w:position w:val="-10"/>
        </w:rPr>
        <w:object w:dxaOrig="97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75pt;height:16.5pt" o:ole="">
            <v:imagedata r:id="rId28" o:title=""/>
          </v:shape>
          <o:OLEObject Type="Embed" ProgID="Equation.3" ShapeID="_x0000_i1025" DrawAspect="Content" ObjectID="_1510564484" r:id="rId29"/>
        </w:object>
      </w:r>
    </w:p>
    <w:p w:rsidR="00A522F2" w:rsidRDefault="00EB7431" w:rsidP="00DB1214">
      <w:pPr>
        <w:ind w:right="540"/>
        <w:rPr>
          <w:rFonts w:ascii="Arial" w:hAnsi="Arial" w:cs="Arial"/>
        </w:rPr>
      </w:pPr>
      <w:r w:rsidRPr="0037249D">
        <w:rPr>
          <w:b/>
          <w:u w:val="single"/>
        </w:rPr>
        <w:t>L809</w:t>
      </w:r>
      <w:r w:rsidR="00DB1214" w:rsidRPr="00746B00">
        <w:rPr>
          <w:rFonts w:ascii="Arial" w:hAnsi="Arial" w:cs="Arial"/>
        </w:rPr>
        <w:t xml:space="preserve"> </w:t>
      </w:r>
    </w:p>
    <w:p w:rsidR="00EB7431" w:rsidRDefault="00907EE6" w:rsidP="00DB1214">
      <w:pPr>
        <w:ind w:right="540"/>
      </w:pPr>
      <w:r>
        <w:t xml:space="preserve">The IE is based on DEER2014 for interior multifamily common area for CFL fixtures. </w:t>
      </w:r>
      <w:r w:rsidRPr="008202A2">
        <w:t xml:space="preserve"> </w:t>
      </w:r>
    </w:p>
    <w:p w:rsidR="00907EE6" w:rsidRPr="00DF34D4" w:rsidRDefault="00907EE6" w:rsidP="00DB1214">
      <w:pPr>
        <w:ind w:right="540"/>
      </w:pPr>
    </w:p>
    <w:p w:rsidR="00EB7431" w:rsidRDefault="00EB7431" w:rsidP="00DB1214">
      <w:pPr>
        <w:ind w:right="540"/>
        <w:rPr>
          <w:rFonts w:ascii="Arial" w:hAnsi="Arial" w:cs="Arial"/>
        </w:rPr>
      </w:pPr>
      <w:r w:rsidRPr="00746B00">
        <w:rPr>
          <w:rFonts w:ascii="Arial" w:hAnsi="Arial" w:cs="Arial"/>
          <w:position w:val="-10"/>
        </w:rPr>
        <w:object w:dxaOrig="9600" w:dyaOrig="340">
          <v:shape id="_x0000_i1026" type="#_x0000_t75" style="width:480.75pt;height:16.5pt" o:ole="">
            <v:imagedata r:id="rId30" o:title=""/>
          </v:shape>
          <o:OLEObject Type="Embed" ProgID="Equation.3" ShapeID="_x0000_i1026" DrawAspect="Content" ObjectID="_1510564485" r:id="rId31"/>
        </w:object>
      </w:r>
    </w:p>
    <w:p w:rsidR="00EB7431" w:rsidRDefault="00EB7431" w:rsidP="00DB1214">
      <w:pPr>
        <w:ind w:right="540"/>
        <w:rPr>
          <w:b/>
          <w:u w:val="single"/>
        </w:rPr>
      </w:pPr>
      <w:r w:rsidRPr="0037249D">
        <w:rPr>
          <w:b/>
          <w:u w:val="single"/>
        </w:rPr>
        <w:t>L8</w:t>
      </w:r>
      <w:r>
        <w:rPr>
          <w:b/>
          <w:u w:val="single"/>
        </w:rPr>
        <w:t>56</w:t>
      </w:r>
    </w:p>
    <w:p w:rsidR="00EB7431" w:rsidRDefault="00907EE6" w:rsidP="00DB1214">
      <w:pPr>
        <w:ind w:right="540"/>
      </w:pPr>
      <w:r>
        <w:t xml:space="preserve">The hours are based on lighting retrofit disposition December 14, 2013 for interior multifamily common area for CFL fixtures. </w:t>
      </w:r>
      <w:r w:rsidRPr="008202A2">
        <w:t xml:space="preserve"> </w:t>
      </w:r>
    </w:p>
    <w:p w:rsidR="00907EE6" w:rsidRDefault="00907EE6" w:rsidP="00DB1214">
      <w:pPr>
        <w:ind w:right="540"/>
        <w:rPr>
          <w:b/>
          <w:u w:val="single"/>
        </w:rPr>
      </w:pPr>
    </w:p>
    <w:p w:rsidR="00EB7431" w:rsidRPr="008B1123" w:rsidRDefault="006C56E9" w:rsidP="00DB1214">
      <w:pPr>
        <w:ind w:right="540"/>
      </w:pPr>
      <w:r w:rsidRPr="00746B00">
        <w:rPr>
          <w:rFonts w:ascii="Arial" w:hAnsi="Arial" w:cs="Arial"/>
          <w:position w:val="-10"/>
        </w:rPr>
        <w:object w:dxaOrig="10660" w:dyaOrig="340">
          <v:shape id="_x0000_i1027" type="#_x0000_t75" style="width:481.5pt;height:16.5pt" o:ole="">
            <v:imagedata r:id="rId32" o:title=""/>
          </v:shape>
          <o:OLEObject Type="Embed" ProgID="Equation.3" ShapeID="_x0000_i1027" DrawAspect="Content" ObjectID="_1510564486" r:id="rId33"/>
        </w:object>
      </w:r>
    </w:p>
    <w:p w:rsidR="00EB7431" w:rsidRDefault="00EB7431">
      <w:pPr>
        <w:rPr>
          <w:b/>
          <w:bCs/>
          <w:kern w:val="32"/>
          <w:sz w:val="32"/>
          <w:szCs w:val="32"/>
        </w:rPr>
      </w:pPr>
      <w:bookmarkStart w:id="72" w:name="_Toc191278378"/>
      <w:r>
        <w:br w:type="page"/>
      </w:r>
    </w:p>
    <w:p w:rsidR="006531F2" w:rsidRPr="000B462F" w:rsidRDefault="006531F2" w:rsidP="000B462F">
      <w:pPr>
        <w:pStyle w:val="Heading1"/>
      </w:pPr>
      <w:bookmarkStart w:id="73" w:name="_Toc436822600"/>
      <w:proofErr w:type="gramStart"/>
      <w:r w:rsidRPr="000B462F">
        <w:lastRenderedPageBreak/>
        <w:t>Section 3.</w:t>
      </w:r>
      <w:proofErr w:type="gramEnd"/>
      <w:r w:rsidRPr="000B462F">
        <w:t xml:space="preserve"> Load Shapes</w:t>
      </w:r>
      <w:bookmarkEnd w:id="72"/>
      <w:bookmarkEnd w:id="73"/>
      <w:r w:rsidRPr="000B462F">
        <w:t xml:space="preserve"> </w:t>
      </w:r>
    </w:p>
    <w:p w:rsidR="006531F2" w:rsidRDefault="006531F2" w:rsidP="00B70B1C">
      <w:pPr>
        <w:autoSpaceDE w:val="0"/>
        <w:autoSpaceDN w:val="0"/>
        <w:adjustRightInd w:val="0"/>
      </w:pPr>
      <w:r>
        <w:t xml:space="preserve">The Load Shapes for the Measure are identical to the Base Case.  </w:t>
      </w:r>
    </w:p>
    <w:p w:rsidR="006531F2" w:rsidRDefault="006531F2" w:rsidP="00B70B1C">
      <w:pPr>
        <w:keepNext/>
      </w:pPr>
    </w:p>
    <w:p w:rsidR="006531F2" w:rsidRDefault="006531F2" w:rsidP="00B70B1C">
      <w:pPr>
        <w:autoSpaceDE w:val="0"/>
        <w:autoSpaceDN w:val="0"/>
        <w:adjustRightInd w:val="0"/>
      </w:pPr>
      <w: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6531F2" w:rsidRPr="000B462F" w:rsidRDefault="006531F2" w:rsidP="000B462F">
      <w:pPr>
        <w:pStyle w:val="Heading2"/>
      </w:pPr>
      <w:bookmarkStart w:id="74" w:name="_Toc191278379"/>
      <w:bookmarkStart w:id="75" w:name="_Toc436822601"/>
      <w:r w:rsidRPr="000B462F">
        <w:t>3.1 Base Case Load Shapes</w:t>
      </w:r>
      <w:bookmarkEnd w:id="74"/>
      <w:bookmarkEnd w:id="75"/>
    </w:p>
    <w:p w:rsidR="006531F2" w:rsidRDefault="006531F2" w:rsidP="00B70B1C">
      <w:r>
        <w:t xml:space="preserve">The base case load shape would be expected to follow a typical residential lighting end use load shape. </w:t>
      </w:r>
    </w:p>
    <w:p w:rsidR="00B70B1C" w:rsidRPr="000B462F" w:rsidRDefault="00B70B1C" w:rsidP="000B462F">
      <w:pPr>
        <w:pStyle w:val="Heading2"/>
      </w:pPr>
      <w:bookmarkStart w:id="76" w:name="_Toc191278380"/>
      <w:bookmarkStart w:id="77" w:name="_Toc436822602"/>
      <w:r w:rsidRPr="000B462F">
        <w:t>3.2 Measure Load Shapes</w:t>
      </w:r>
      <w:bookmarkEnd w:id="76"/>
      <w:bookmarkEnd w:id="77"/>
    </w:p>
    <w:p w:rsidR="00B70B1C" w:rsidRDefault="00B70B1C" w:rsidP="00B70B1C">
      <w:r>
        <w:t>For purposes of the net benefits estimates in the E3 calculator, what is required is the load shape</w:t>
      </w:r>
      <w:r>
        <w:fldChar w:fldCharType="begin"/>
      </w:r>
      <w:r>
        <w:instrText xml:space="preserve"> XE "load shape" </w:instrText>
      </w:r>
      <w:r>
        <w:fldChar w:fldCharType="end"/>
      </w:r>
      <w:r>
        <w:t xml:space="preserve"> that ideally represents the </w:t>
      </w:r>
      <w:r>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B70B1C" w:rsidRDefault="00B70B1C" w:rsidP="00B70B1C"/>
    <w:p w:rsidR="001D7F63" w:rsidRDefault="00B70B1C" w:rsidP="00B70B1C">
      <w:r>
        <w:t xml:space="preserve">The </w:t>
      </w:r>
      <w:r w:rsidRPr="000F3B93">
        <w:t>measure load shape</w:t>
      </w:r>
      <w:r>
        <w:t xml:space="preserve"> for this measure as determined by the E3 calculator would be based on the applicable residential market sector and the lighting end-use. </w:t>
      </w:r>
    </w:p>
    <w:p w:rsidR="001D7F63" w:rsidRDefault="001D7F63" w:rsidP="00B70B1C"/>
    <w:p w:rsidR="00EB7431" w:rsidRDefault="00EB7431" w:rsidP="00EB7431">
      <w:pPr>
        <w:pStyle w:val="Caption"/>
        <w:jc w:val="center"/>
      </w:pPr>
      <w:bookmarkStart w:id="78" w:name="_Toc432073962"/>
      <w:bookmarkStart w:id="79" w:name="_Toc436822583"/>
      <w:r>
        <w:t xml:space="preserve">Table </w:t>
      </w:r>
      <w:r w:rsidR="005F7D49">
        <w:fldChar w:fldCharType="begin"/>
      </w:r>
      <w:r w:rsidR="005F7D49">
        <w:instrText xml:space="preserve"> SEQ Table \* ARABIC </w:instrText>
      </w:r>
      <w:r w:rsidR="005F7D49">
        <w:fldChar w:fldCharType="separate"/>
      </w:r>
      <w:r>
        <w:rPr>
          <w:noProof/>
        </w:rPr>
        <w:t>5</w:t>
      </w:r>
      <w:r w:rsidR="005F7D49">
        <w:rPr>
          <w:noProof/>
        </w:rPr>
        <w:fldChar w:fldCharType="end"/>
      </w:r>
      <w:r>
        <w:t xml:space="preserve"> Building Types and Load Shapes</w:t>
      </w:r>
      <w:bookmarkEnd w:id="78"/>
      <w:bookmarkEnd w:id="79"/>
    </w:p>
    <w:tbl>
      <w:tblPr>
        <w:tblStyle w:val="TableGrid1"/>
        <w:tblW w:w="5000" w:type="pct"/>
        <w:tblLook w:val="01E0" w:firstRow="1" w:lastRow="1" w:firstColumn="1" w:lastColumn="1" w:noHBand="0" w:noVBand="0"/>
      </w:tblPr>
      <w:tblGrid>
        <w:gridCol w:w="3229"/>
        <w:gridCol w:w="3407"/>
        <w:gridCol w:w="2940"/>
      </w:tblGrid>
      <w:tr w:rsidR="00EB7431" w:rsidRPr="00DD22A4" w:rsidTr="000B462F">
        <w:tc>
          <w:tcPr>
            <w:tcW w:w="1686" w:type="pct"/>
            <w:shd w:val="clear" w:color="auto" w:fill="D9D9D9" w:themeFill="background1" w:themeFillShade="D9"/>
          </w:tcPr>
          <w:p w:rsidR="00EB7431" w:rsidRPr="00DD22A4" w:rsidRDefault="00EB7431" w:rsidP="000B462F">
            <w:pPr>
              <w:rPr>
                <w:rFonts w:ascii="Times New Roman" w:hAnsi="Times New Roman"/>
                <w:b/>
                <w:sz w:val="20"/>
                <w:szCs w:val="20"/>
                <w:highlight w:val="yellow"/>
              </w:rPr>
            </w:pPr>
            <w:r w:rsidRPr="00DD22A4">
              <w:rPr>
                <w:rFonts w:ascii="Times New Roman" w:hAnsi="Times New Roman"/>
                <w:b/>
                <w:sz w:val="20"/>
                <w:szCs w:val="20"/>
              </w:rPr>
              <w:t>Building Type</w:t>
            </w:r>
          </w:p>
        </w:tc>
        <w:tc>
          <w:tcPr>
            <w:tcW w:w="1779" w:type="pct"/>
            <w:shd w:val="clear" w:color="auto" w:fill="D9D9D9" w:themeFill="background1" w:themeFillShade="D9"/>
          </w:tcPr>
          <w:p w:rsidR="00EB7431" w:rsidRPr="00DD22A4" w:rsidRDefault="00EB7431" w:rsidP="000B462F">
            <w:pPr>
              <w:rPr>
                <w:rFonts w:ascii="Times New Roman" w:hAnsi="Times New Roman"/>
                <w:b/>
                <w:sz w:val="20"/>
                <w:szCs w:val="20"/>
              </w:rPr>
            </w:pPr>
            <w:r w:rsidRPr="00DD22A4">
              <w:rPr>
                <w:rFonts w:ascii="Times New Roman" w:hAnsi="Times New Roman"/>
                <w:b/>
                <w:sz w:val="20"/>
                <w:szCs w:val="20"/>
              </w:rPr>
              <w:t>Load Shape</w:t>
            </w:r>
          </w:p>
        </w:tc>
        <w:tc>
          <w:tcPr>
            <w:tcW w:w="1535" w:type="pct"/>
            <w:shd w:val="clear" w:color="auto" w:fill="D9D9D9" w:themeFill="background1" w:themeFillShade="D9"/>
          </w:tcPr>
          <w:p w:rsidR="00EB7431" w:rsidRPr="00DD22A4" w:rsidRDefault="00EB7431" w:rsidP="000B462F">
            <w:pPr>
              <w:rPr>
                <w:rFonts w:ascii="Times New Roman" w:hAnsi="Times New Roman"/>
                <w:b/>
                <w:sz w:val="20"/>
                <w:szCs w:val="20"/>
                <w:highlight w:val="yellow"/>
              </w:rPr>
            </w:pPr>
            <w:r w:rsidRPr="00DD22A4">
              <w:rPr>
                <w:rFonts w:ascii="Times New Roman" w:hAnsi="Times New Roman"/>
                <w:b/>
                <w:sz w:val="20"/>
                <w:szCs w:val="20"/>
              </w:rPr>
              <w:t>E3 Alternate Building Type</w:t>
            </w:r>
          </w:p>
        </w:tc>
      </w:tr>
      <w:tr w:rsidR="00EB7431" w:rsidRPr="00DD22A4" w:rsidTr="000B462F">
        <w:tc>
          <w:tcPr>
            <w:tcW w:w="1686" w:type="pct"/>
          </w:tcPr>
          <w:p w:rsidR="00EB7431" w:rsidRPr="00DD22A4" w:rsidRDefault="00EB7431" w:rsidP="000B462F">
            <w:pPr>
              <w:rPr>
                <w:rFonts w:ascii="Times New Roman" w:hAnsi="Times New Roman"/>
                <w:sz w:val="20"/>
                <w:szCs w:val="20"/>
              </w:rPr>
            </w:pPr>
            <w:r>
              <w:rPr>
                <w:rFonts w:ascii="Times New Roman" w:hAnsi="Times New Roman"/>
                <w:sz w:val="20"/>
                <w:szCs w:val="20"/>
              </w:rPr>
              <w:t>Residential</w:t>
            </w:r>
          </w:p>
        </w:tc>
        <w:tc>
          <w:tcPr>
            <w:tcW w:w="1779" w:type="pct"/>
          </w:tcPr>
          <w:p w:rsidR="00EB7431" w:rsidRPr="00DD22A4" w:rsidRDefault="00EB7431" w:rsidP="000B462F">
            <w:pPr>
              <w:rPr>
                <w:rFonts w:ascii="Times New Roman" w:hAnsi="Times New Roman"/>
                <w:sz w:val="20"/>
                <w:szCs w:val="20"/>
              </w:rPr>
            </w:pPr>
            <w:proofErr w:type="spellStart"/>
            <w:r>
              <w:rPr>
                <w:rFonts w:ascii="Times New Roman" w:hAnsi="Times New Roman"/>
                <w:sz w:val="20"/>
                <w:szCs w:val="20"/>
              </w:rPr>
              <w:t>PGE:DEER:Indoor_CFL_Ltg</w:t>
            </w:r>
            <w:proofErr w:type="spellEnd"/>
          </w:p>
        </w:tc>
        <w:tc>
          <w:tcPr>
            <w:tcW w:w="1535" w:type="pct"/>
          </w:tcPr>
          <w:p w:rsidR="00EB7431" w:rsidRPr="00DD22A4" w:rsidRDefault="00EB7431" w:rsidP="000B462F">
            <w:pPr>
              <w:rPr>
                <w:rFonts w:ascii="Times New Roman" w:hAnsi="Times New Roman"/>
                <w:sz w:val="20"/>
                <w:szCs w:val="20"/>
              </w:rPr>
            </w:pPr>
            <w:r>
              <w:rPr>
                <w:rFonts w:ascii="Times New Roman" w:hAnsi="Times New Roman"/>
                <w:sz w:val="20"/>
                <w:szCs w:val="20"/>
              </w:rPr>
              <w:t>RES</w:t>
            </w:r>
          </w:p>
        </w:tc>
      </w:tr>
    </w:tbl>
    <w:p w:rsidR="00EB7431" w:rsidRDefault="00EB7431" w:rsidP="00EB7431">
      <w:pPr>
        <w:pStyle w:val="Heading1"/>
        <w:keepNext w:val="0"/>
      </w:pPr>
    </w:p>
    <w:p w:rsidR="00EB7431" w:rsidRDefault="00EB7431" w:rsidP="00B70B1C"/>
    <w:p w:rsidR="00DF34D4" w:rsidRDefault="00DF34D4">
      <w:pPr>
        <w:rPr>
          <w:b/>
          <w:bCs/>
          <w:kern w:val="32"/>
          <w:sz w:val="32"/>
          <w:szCs w:val="32"/>
        </w:rPr>
      </w:pPr>
      <w:bookmarkStart w:id="80" w:name="_Toc191278381"/>
      <w:r>
        <w:br w:type="page"/>
      </w:r>
    </w:p>
    <w:p w:rsidR="00B70B1C" w:rsidRPr="000B462F" w:rsidRDefault="00B70B1C" w:rsidP="000B462F">
      <w:pPr>
        <w:pStyle w:val="Heading1"/>
      </w:pPr>
      <w:bookmarkStart w:id="81" w:name="_Toc436822603"/>
      <w:proofErr w:type="gramStart"/>
      <w:r w:rsidRPr="000B462F">
        <w:lastRenderedPageBreak/>
        <w:t>Section 4.</w:t>
      </w:r>
      <w:proofErr w:type="gramEnd"/>
      <w:r w:rsidRPr="000B462F">
        <w:t xml:space="preserve"> Base Case &amp; Measure Costs</w:t>
      </w:r>
      <w:bookmarkEnd w:id="80"/>
      <w:bookmarkEnd w:id="81"/>
    </w:p>
    <w:p w:rsidR="00E44E9C" w:rsidRDefault="00E44E9C" w:rsidP="00E44E9C">
      <w:bookmarkStart w:id="82" w:name="_Toc174189545"/>
      <w:bookmarkStart w:id="83" w:name="_Toc234227873"/>
      <w:r>
        <w:t xml:space="preserve">A joint effort was made between SCE and PG&amp;E to update base case and measure costs for DEER 2016 affected measures.  </w:t>
      </w:r>
    </w:p>
    <w:p w:rsidR="002D435B" w:rsidRPr="000B462F" w:rsidRDefault="002D435B" w:rsidP="000B462F">
      <w:pPr>
        <w:pStyle w:val="Heading2"/>
      </w:pPr>
      <w:bookmarkStart w:id="84" w:name="_Toc436822604"/>
      <w:r w:rsidRPr="000B462F">
        <w:t>4.1 Base Cases Costs</w:t>
      </w:r>
      <w:bookmarkEnd w:id="82"/>
      <w:bookmarkEnd w:id="83"/>
      <w:bookmarkEnd w:id="84"/>
    </w:p>
    <w:p w:rsidR="002D435B" w:rsidRPr="00DF34D4" w:rsidRDefault="00E44E9C" w:rsidP="002D435B">
      <w:pPr>
        <w:rPr>
          <w:highlight w:val="yellow"/>
        </w:rPr>
      </w:pPr>
      <w:r w:rsidRPr="000D6B61">
        <w:t>The technique of web scraping (aka web harvesting, web crawling, web data extraction) was used to gather pricing information from the Home Depot website for base case costs.  The methodology used for measure costs applies to base case costs.  See Section 4.2 for the methodology.</w:t>
      </w:r>
      <w:r>
        <w:t xml:space="preserve">  The base case costs are reduced by 30% as suggested by the Navigant LED Study</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4</w:t>
      </w:r>
      <w:r w:rsidRPr="00334147">
        <w:rPr>
          <w:vertAlign w:val="superscript"/>
        </w:rPr>
        <w:fldChar w:fldCharType="end"/>
      </w:r>
      <w:r>
        <w:t>.  The 30% reduction factor is “to account for the difference between online and typical purchase price” (page 1-3).</w:t>
      </w:r>
    </w:p>
    <w:p w:rsidR="002D435B" w:rsidRPr="00DF34D4" w:rsidRDefault="002D435B" w:rsidP="002D435B">
      <w:pPr>
        <w:rPr>
          <w:highlight w:val="yellow"/>
        </w:rPr>
      </w:pPr>
    </w:p>
    <w:p w:rsidR="002D435B" w:rsidRPr="00A21F2C" w:rsidRDefault="002D435B" w:rsidP="000B462F">
      <w:pPr>
        <w:pStyle w:val="Heading2"/>
      </w:pPr>
      <w:bookmarkStart w:id="85" w:name="_Toc234227874"/>
      <w:bookmarkStart w:id="86" w:name="_Toc436822605"/>
      <w:r w:rsidRPr="00A21F2C">
        <w:t>4.2 Measure Costs</w:t>
      </w:r>
      <w:bookmarkEnd w:id="85"/>
      <w:bookmarkEnd w:id="86"/>
    </w:p>
    <w:p w:rsidR="00E44E9C" w:rsidRDefault="00E44E9C" w:rsidP="00E44E9C">
      <w:bookmarkStart w:id="87" w:name="_Toc234227875"/>
      <w:r>
        <w:t>The same technique of web scraping was used to gather pricing information from the Home Depot website for measure case costs.  First, a</w:t>
      </w:r>
      <w:r w:rsidRPr="00353128">
        <w:t xml:space="preserve"> small sample of products </w:t>
      </w:r>
      <w:r>
        <w:t>was</w:t>
      </w:r>
      <w:r w:rsidRPr="00353128">
        <w:t xml:space="preserve"> examined between different</w:t>
      </w:r>
      <w:r>
        <w:t xml:space="preserve"> online</w:t>
      </w:r>
      <w:r w:rsidRPr="00353128">
        <w:t xml:space="preserve"> retailers to determine the need to include items from </w:t>
      </w:r>
      <w:r>
        <w:t>various</w:t>
      </w:r>
      <w:r w:rsidRPr="00353128">
        <w:t xml:space="preserve"> retailers and the discrepancy between pricing. </w:t>
      </w:r>
      <w:r>
        <w:t xml:space="preserve"> Please refer to the Competitive Pricing tab in the cost spreadsheet.  Due to the competitive pricing of the same fixture from different retailers, only Home Depot data was examined in detail.  </w:t>
      </w:r>
    </w:p>
    <w:p w:rsidR="00E44E9C" w:rsidRDefault="00E44E9C" w:rsidP="00E44E9C"/>
    <w:p w:rsidR="00E44E9C" w:rsidRDefault="00E44E9C" w:rsidP="00E44E9C">
      <w: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rsidR="00E44E9C" w:rsidRDefault="00E44E9C" w:rsidP="00E44E9C"/>
    <w:p w:rsidR="00E44E9C" w:rsidRDefault="00E44E9C" w:rsidP="00E44E9C">
      <w:r>
        <w:t>Item descriptions were also viewed to understand the reasoning of such high costs.  It was almost always found that items with high costs were associated with architectural features and/or 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0D6B61">
        <w:rPr>
          <w:vertAlign w:val="superscript"/>
        </w:rPr>
        <w:t>th</w:t>
      </w:r>
      <w:r>
        <w:t xml:space="preserve"> percentile for the median price.</w:t>
      </w:r>
      <w:bookmarkStart w:id="88" w:name="_Ref435694665"/>
      <w:r>
        <w:rPr>
          <w:rStyle w:val="EndnoteReference"/>
        </w:rPr>
        <w:endnoteReference w:id="4"/>
      </w:r>
      <w:bookmarkEnd w:id="88"/>
    </w:p>
    <w:p w:rsidR="00E44E9C" w:rsidRDefault="00E44E9C" w:rsidP="00E44E9C"/>
    <w:p w:rsidR="00E44E9C" w:rsidRDefault="00E44E9C" w:rsidP="00E44E9C">
      <w: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rsidR="00E44E9C" w:rsidRDefault="00E44E9C" w:rsidP="00E44E9C"/>
    <w:p w:rsidR="00E44E9C" w:rsidRDefault="00E44E9C" w:rsidP="00E44E9C">
      <w:r w:rsidRPr="001A3FAA">
        <w:t>For work paper purposes, the cost</w:t>
      </w:r>
      <w:r>
        <w:t>s</w:t>
      </w:r>
      <w:r w:rsidRPr="001A3FAA">
        <w:t xml:space="preserve"> </w:t>
      </w:r>
      <w:r>
        <w:t xml:space="preserve">are </w:t>
      </w:r>
      <w:r w:rsidRPr="001A3FAA">
        <w:t xml:space="preserve">an equal representation of the medium and low cost categories.  Therefore, the best representative association is the average of the </w:t>
      </w:r>
      <w:proofErr w:type="spellStart"/>
      <w:r w:rsidRPr="001A3FAA">
        <w:t>trendline</w:t>
      </w:r>
      <w:proofErr w:type="spellEnd"/>
      <w:r w:rsidRPr="001A3FAA">
        <w:t xml:space="preserve"> for medium cost and the </w:t>
      </w:r>
      <w:proofErr w:type="spellStart"/>
      <w:r w:rsidRPr="001A3FAA">
        <w:t>trendline</w:t>
      </w:r>
      <w:proofErr w:type="spellEnd"/>
      <w:r w:rsidRPr="001A3FAA">
        <w:t xml:space="preserve"> of the low cost.</w:t>
      </w:r>
      <w:r w:rsidRPr="00AF4528">
        <w:t xml:space="preserve"> </w:t>
      </w:r>
      <w:r>
        <w:t xml:space="preserve"> </w:t>
      </w:r>
      <w:r w:rsidRPr="001A3FAA">
        <w:t xml:space="preserve">This process is not the same as </w:t>
      </w:r>
      <w:r>
        <w:t xml:space="preserve">a </w:t>
      </w:r>
      <w:r w:rsidRPr="001A3FAA">
        <w:t xml:space="preserve">linear regression determined from the low and medium cost items combined.  Due to the quantity in the data sampling, the items associated with the low or medium cost would influence the linear </w:t>
      </w:r>
      <w:r w:rsidRPr="001A3FAA">
        <w:lastRenderedPageBreak/>
        <w:t>regression.  For this reason, the best representative cost comes from the average of the linear regression from the medium cost and the linear regression from the cost.  This is how cost is propagated for all the technology categories.</w:t>
      </w:r>
    </w:p>
    <w:p w:rsidR="00E44E9C" w:rsidRPr="001A3FAA" w:rsidRDefault="00E44E9C" w:rsidP="00E44E9C">
      <w:pPr>
        <w:pStyle w:val="NoSpacing"/>
        <w:rPr>
          <w:rFonts w:ascii="Times New Roman" w:hAnsi="Times New Roman" w:cs="Times New Roman"/>
        </w:rPr>
      </w:pPr>
    </w:p>
    <w:p w:rsidR="00E44E9C" w:rsidRPr="001A3FAA" w:rsidRDefault="00E44E9C" w:rsidP="00E44E9C">
      <w:r>
        <w:t>As with base case costs, the measure costs are also reduced by 30%</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4</w:t>
      </w:r>
      <w:r w:rsidRPr="00334147">
        <w:rPr>
          <w:vertAlign w:val="superscript"/>
        </w:rPr>
        <w:fldChar w:fldCharType="end"/>
      </w:r>
      <w:r>
        <w:t xml:space="preserve"> to account for the bulk wholesale pricing discrepancy.</w:t>
      </w:r>
    </w:p>
    <w:p w:rsidR="002D435B" w:rsidRPr="000B462F" w:rsidRDefault="002D435B" w:rsidP="000B462F">
      <w:pPr>
        <w:pStyle w:val="Heading2"/>
        <w:rPr>
          <w:highlight w:val="yellow"/>
        </w:rPr>
      </w:pPr>
      <w:bookmarkStart w:id="89" w:name="_Toc436822606"/>
      <w:r w:rsidRPr="008E6B31">
        <w:t>4.3 Incremental &amp; Full Measure Costs</w:t>
      </w:r>
      <w:bookmarkEnd w:id="87"/>
      <w:bookmarkEnd w:id="89"/>
    </w:p>
    <w:p w:rsidR="00E44E9C" w:rsidRPr="001A3FAA" w:rsidRDefault="00E44E9C" w:rsidP="00E44E9C">
      <w:pPr>
        <w:rPr>
          <w:b/>
        </w:rPr>
      </w:pPr>
      <w:bookmarkStart w:id="90" w:name="_Toc191278386"/>
      <w:r>
        <w:t>The incremental cost for CFL fixtures is the difference between the base case costs and the measure costs.  Please refer to the cost calculation spreadsheet for detailed incremental or full cost information.</w:t>
      </w:r>
    </w:p>
    <w:p w:rsidR="009168A1" w:rsidRPr="00D6597F" w:rsidRDefault="00D844FF" w:rsidP="00D6597F">
      <w:pPr>
        <w:pStyle w:val="Heading1"/>
        <w:rPr>
          <w:color w:val="FF0000"/>
        </w:rPr>
      </w:pPr>
      <w:r>
        <w:br w:type="page"/>
      </w:r>
      <w:bookmarkStart w:id="91" w:name="_Toc436822607"/>
      <w:r w:rsidR="00B70B1C">
        <w:lastRenderedPageBreak/>
        <w:t>References</w:t>
      </w:r>
      <w:bookmarkEnd w:id="91"/>
      <w:r w:rsidR="00B70B1C">
        <w:t xml:space="preserve"> </w:t>
      </w:r>
      <w:bookmarkEnd w:id="12"/>
      <w:bookmarkEnd w:id="90"/>
    </w:p>
    <w:sectPr w:rsidR="009168A1" w:rsidRPr="00D6597F" w:rsidSect="00E44E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C93" w:rsidRDefault="00054C93">
      <w:r>
        <w:separator/>
      </w:r>
    </w:p>
  </w:endnote>
  <w:endnote w:type="continuationSeparator" w:id="0">
    <w:p w:rsidR="00054C93" w:rsidRDefault="00054C93">
      <w:r>
        <w:continuationSeparator/>
      </w:r>
    </w:p>
  </w:endnote>
  <w:endnote w:id="1">
    <w:p w:rsidR="00054C93" w:rsidRPr="00E44E9C" w:rsidRDefault="00054C93" w:rsidP="00C91DAF">
      <w:pPr>
        <w:pStyle w:val="EndnoteText"/>
        <w:ind w:left="180" w:hanging="180"/>
        <w:rPr>
          <w:i/>
          <w:sz w:val="24"/>
          <w:szCs w:val="24"/>
        </w:rPr>
      </w:pPr>
      <w:r w:rsidRPr="00E44E9C">
        <w:rPr>
          <w:rStyle w:val="EndnoteReference"/>
          <w:sz w:val="24"/>
          <w:szCs w:val="24"/>
        </w:rPr>
        <w:endnoteRef/>
      </w:r>
      <w:r w:rsidRPr="00E44E9C">
        <w:rPr>
          <w:sz w:val="24"/>
          <w:szCs w:val="24"/>
        </w:rPr>
        <w:t xml:space="preserve"> The DEER Measure Cost Data Users Guide found on </w:t>
      </w:r>
      <w:hyperlink r:id="rId1" w:history="1">
        <w:r w:rsidRPr="00E44E9C">
          <w:rPr>
            <w:rStyle w:val="Hyperlink"/>
            <w:sz w:val="24"/>
            <w:szCs w:val="24"/>
          </w:rPr>
          <w:t>www.deeresources.com</w:t>
        </w:r>
      </w:hyperlink>
      <w:r w:rsidRPr="00E44E9C">
        <w:rPr>
          <w:sz w:val="24"/>
          <w:szCs w:val="24"/>
        </w:rPr>
        <w:t xml:space="preserve"> under </w:t>
      </w:r>
      <w:r w:rsidRPr="00E44E9C">
        <w:rPr>
          <w:i/>
          <w:sz w:val="24"/>
          <w:szCs w:val="24"/>
        </w:rPr>
        <w:t>DEER2011 Database Format</w:t>
      </w:r>
      <w:r w:rsidRPr="00E44E9C">
        <w:rPr>
          <w:sz w:val="24"/>
          <w:szCs w:val="24"/>
        </w:rPr>
        <w:t xml:space="preserve"> hyperlink, </w:t>
      </w:r>
      <w:r w:rsidRPr="00E44E9C">
        <w:rPr>
          <w:rStyle w:val="breadcrumbs"/>
          <w:color w:val="333333"/>
          <w:sz w:val="24"/>
          <w:szCs w:val="24"/>
          <w:lang w:val="en-GB"/>
        </w:rPr>
        <w:t>DEER2011 for 13-14</w:t>
      </w:r>
      <w:r w:rsidRPr="00E44E9C">
        <w:rPr>
          <w:color w:val="333333"/>
          <w:sz w:val="24"/>
          <w:szCs w:val="24"/>
          <w:lang w:val="en-GB"/>
        </w:rPr>
        <w:t>,</w:t>
      </w:r>
      <w:r w:rsidRPr="00E44E9C">
        <w:rPr>
          <w:sz w:val="24"/>
          <w:szCs w:val="24"/>
        </w:rPr>
        <w:t xml:space="preserve"> spreadsheet </w:t>
      </w:r>
      <w:r w:rsidRPr="00E44E9C">
        <w:rPr>
          <w:i/>
          <w:sz w:val="24"/>
          <w:szCs w:val="24"/>
        </w:rPr>
        <w:t>SPTdata_format-V0.97.xls.</w:t>
      </w:r>
    </w:p>
    <w:p w:rsidR="00054C93" w:rsidRPr="00E44E9C" w:rsidRDefault="00054C93" w:rsidP="00C91DAF">
      <w:pPr>
        <w:pStyle w:val="EndnoteText"/>
        <w:ind w:left="180" w:hanging="180"/>
        <w:rPr>
          <w:sz w:val="24"/>
          <w:szCs w:val="24"/>
        </w:rPr>
      </w:pPr>
    </w:p>
  </w:endnote>
  <w:endnote w:id="2">
    <w:p w:rsidR="00054C93" w:rsidRPr="00E44E9C" w:rsidRDefault="00054C93">
      <w:pPr>
        <w:pStyle w:val="EndnoteText"/>
        <w:rPr>
          <w:sz w:val="24"/>
          <w:szCs w:val="24"/>
        </w:rPr>
      </w:pPr>
      <w:r w:rsidRPr="00E44E9C">
        <w:rPr>
          <w:rStyle w:val="EndnoteReference"/>
          <w:sz w:val="24"/>
          <w:szCs w:val="24"/>
        </w:rPr>
        <w:endnoteRef/>
      </w:r>
      <w:r w:rsidRPr="00E44E9C">
        <w:rPr>
          <w:sz w:val="24"/>
          <w:szCs w:val="24"/>
        </w:rPr>
        <w:t xml:space="preserve">  CPUC Energy Division – Lighting Disposition December 14, 2013</w:t>
      </w:r>
    </w:p>
    <w:p w:rsidR="00054C93" w:rsidRPr="00E44E9C" w:rsidRDefault="00054C93">
      <w:pPr>
        <w:pStyle w:val="EndnoteText"/>
        <w:rPr>
          <w:sz w:val="24"/>
          <w:szCs w:val="24"/>
        </w:rPr>
      </w:pPr>
    </w:p>
  </w:endnote>
  <w:endnote w:id="3">
    <w:p w:rsidR="00054C93" w:rsidRPr="00E44E9C" w:rsidRDefault="00054C93">
      <w:pPr>
        <w:pStyle w:val="EndnoteText"/>
        <w:rPr>
          <w:sz w:val="24"/>
          <w:szCs w:val="24"/>
        </w:rPr>
      </w:pPr>
      <w:r w:rsidRPr="00E44E9C">
        <w:rPr>
          <w:rStyle w:val="EndnoteReference"/>
          <w:sz w:val="24"/>
          <w:szCs w:val="24"/>
        </w:rPr>
        <w:endnoteRef/>
      </w:r>
      <w:r w:rsidRPr="00E44E9C">
        <w:rPr>
          <w:sz w:val="24"/>
          <w:szCs w:val="24"/>
        </w:rPr>
        <w:t xml:space="preserve"> 2015 Uncertain Measures Update – Database for Energy-Efficient Resources – DEER2015 Updates for Measures Removed from the ESPI Uncertain Measure List found on </w:t>
      </w:r>
      <w:hyperlink r:id="rId2" w:history="1">
        <w:r w:rsidRPr="00E44E9C">
          <w:rPr>
            <w:rStyle w:val="Hyperlink"/>
            <w:sz w:val="24"/>
            <w:szCs w:val="24"/>
          </w:rPr>
          <w:t>http://www.deeresources.com/index.php/deer-versions/2015-uncertain-measures-update</w:t>
        </w:r>
      </w:hyperlink>
    </w:p>
  </w:endnote>
  <w:endnote w:id="4">
    <w:p w:rsidR="00E44E9C" w:rsidRPr="00E44E9C" w:rsidRDefault="00E44E9C" w:rsidP="00E44E9C">
      <w:pPr>
        <w:pStyle w:val="EndnoteText"/>
        <w:rPr>
          <w:sz w:val="24"/>
          <w:szCs w:val="24"/>
        </w:rPr>
      </w:pPr>
    </w:p>
    <w:p w:rsidR="00E44E9C" w:rsidRDefault="00E44E9C" w:rsidP="00E44E9C">
      <w:pPr>
        <w:pStyle w:val="EndnoteText"/>
      </w:pPr>
      <w:r w:rsidRPr="00E44E9C">
        <w:rPr>
          <w:rStyle w:val="EndnoteReference"/>
          <w:sz w:val="24"/>
          <w:szCs w:val="24"/>
        </w:rPr>
        <w:endnoteRef/>
      </w:r>
      <w:r w:rsidRPr="00E44E9C">
        <w:rPr>
          <w:sz w:val="24"/>
          <w:szCs w:val="24"/>
        </w:rPr>
        <w:t xml:space="preserve"> California LED </w:t>
      </w:r>
      <w:proofErr w:type="spellStart"/>
      <w:r w:rsidRPr="00E44E9C">
        <w:rPr>
          <w:sz w:val="24"/>
          <w:szCs w:val="24"/>
        </w:rPr>
        <w:t>Workpaper</w:t>
      </w:r>
      <w:proofErr w:type="spellEnd"/>
      <w:r w:rsidRPr="00E44E9C">
        <w:rPr>
          <w:sz w:val="24"/>
          <w:szCs w:val="24"/>
        </w:rPr>
        <w:t xml:space="preserve"> Update Study.  </w:t>
      </w:r>
      <w:proofErr w:type="gramStart"/>
      <w:r w:rsidRPr="00E44E9C">
        <w:rPr>
          <w:sz w:val="24"/>
          <w:szCs w:val="24"/>
        </w:rPr>
        <w:t>Navigant Consulting.</w:t>
      </w:r>
      <w:proofErr w:type="gramEnd"/>
      <w:r w:rsidRPr="00E44E9C">
        <w:rPr>
          <w:sz w:val="24"/>
          <w:szCs w:val="24"/>
        </w:rPr>
        <w:t xml:space="preserve">  August 28, 2015.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4C93" w:rsidRDefault="00054C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Pr="00846195" w:rsidRDefault="00054C9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054C93" w:rsidRDefault="00054C9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054C93" w:rsidRDefault="00054C93" w:rsidP="00D7047A">
    <w:pPr>
      <w:pStyle w:val="Footer"/>
      <w:rPr>
        <w:b/>
        <w:sz w:val="20"/>
        <w:szCs w:val="20"/>
      </w:rPr>
    </w:pPr>
    <w:r>
      <w:rPr>
        <w:b/>
        <w:sz w:val="20"/>
        <w:szCs w:val="20"/>
      </w:rPr>
      <w:t>Pacific Gas &amp; Electric Company</w:t>
    </w:r>
  </w:p>
  <w:p w:rsidR="00054C93" w:rsidRPr="00844B27" w:rsidRDefault="00054C9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PGECOLTG110 R5 Energy Star Interior CF.docx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1734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4C93" w:rsidRDefault="00054C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Pr="00846195" w:rsidRDefault="00054C93" w:rsidP="0017342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F7D49">
      <w:rPr>
        <w:rStyle w:val="PageNumber"/>
        <w:b/>
        <w:noProof/>
        <w:sz w:val="20"/>
        <w:szCs w:val="20"/>
      </w:rPr>
      <w:t>ii</w:t>
    </w:r>
    <w:r w:rsidRPr="00846195">
      <w:rPr>
        <w:rStyle w:val="PageNumber"/>
        <w:b/>
        <w:sz w:val="20"/>
        <w:szCs w:val="20"/>
      </w:rPr>
      <w:fldChar w:fldCharType="end"/>
    </w:r>
  </w:p>
  <w:p w:rsidR="00054C93" w:rsidRPr="00A37AEF" w:rsidRDefault="00054C93" w:rsidP="0017342E">
    <w:pPr>
      <w:pStyle w:val="Footer"/>
      <w:pBdr>
        <w:top w:val="single" w:sz="4" w:space="1" w:color="auto"/>
      </w:pBdr>
      <w:tabs>
        <w:tab w:val="clear" w:pos="8640"/>
        <w:tab w:val="right" w:pos="9360"/>
      </w:tabs>
      <w:rPr>
        <w:b/>
        <w:sz w:val="20"/>
        <w:szCs w:val="20"/>
      </w:rPr>
    </w:pPr>
    <w:r w:rsidRPr="00A37AEF">
      <w:rPr>
        <w:b/>
        <w:sz w:val="20"/>
        <w:szCs w:val="20"/>
      </w:rPr>
      <w:t xml:space="preserve">Work Paper PGECOLTG110, Revision </w:t>
    </w:r>
    <w:r>
      <w:rPr>
        <w:b/>
        <w:sz w:val="20"/>
        <w:szCs w:val="20"/>
      </w:rPr>
      <w:t>6</w:t>
    </w:r>
    <w:r w:rsidRPr="00A37AEF">
      <w:rPr>
        <w:b/>
        <w:sz w:val="20"/>
        <w:szCs w:val="20"/>
      </w:rPr>
      <w:tab/>
    </w:r>
    <w:r w:rsidRPr="00A37AEF">
      <w:rPr>
        <w:b/>
        <w:sz w:val="20"/>
        <w:szCs w:val="20"/>
      </w:rPr>
      <w:tab/>
    </w:r>
    <w:r>
      <w:rPr>
        <w:b/>
        <w:sz w:val="20"/>
        <w:szCs w:val="20"/>
      </w:rPr>
      <w:t>1/1/2016</w:t>
    </w:r>
  </w:p>
  <w:p w:rsidR="00054C93" w:rsidRPr="00A37AEF" w:rsidRDefault="00054C93" w:rsidP="0017342E">
    <w:pPr>
      <w:pStyle w:val="Footer"/>
      <w:rPr>
        <w:b/>
        <w:sz w:val="20"/>
        <w:szCs w:val="20"/>
      </w:rPr>
    </w:pPr>
    <w:r w:rsidRPr="00A37AEF">
      <w:rPr>
        <w:b/>
        <w:sz w:val="20"/>
        <w:szCs w:val="20"/>
      </w:rPr>
      <w:t>Pacific Gas &amp; Electric Company</w:t>
    </w:r>
  </w:p>
  <w:p w:rsidR="00054C93" w:rsidRPr="00A37AEF" w:rsidRDefault="00054C93" w:rsidP="0017342E">
    <w:pPr>
      <w:pStyle w:val="Footer"/>
      <w:rPr>
        <w:b/>
        <w:sz w:val="20"/>
        <w:szCs w:val="20"/>
      </w:rPr>
    </w:pPr>
    <w:r w:rsidRPr="00A37AEF">
      <w:rPr>
        <w:b/>
        <w:sz w:val="20"/>
        <w:szCs w:val="20"/>
      </w:rPr>
      <w:fldChar w:fldCharType="begin"/>
    </w:r>
    <w:r w:rsidRPr="00A37AEF">
      <w:rPr>
        <w:b/>
        <w:sz w:val="20"/>
        <w:szCs w:val="20"/>
      </w:rPr>
      <w:instrText xml:space="preserve"> FILENAME </w:instrText>
    </w:r>
    <w:r w:rsidRPr="00A37AEF">
      <w:rPr>
        <w:b/>
        <w:sz w:val="20"/>
        <w:szCs w:val="20"/>
      </w:rPr>
      <w:fldChar w:fldCharType="separate"/>
    </w:r>
    <w:r>
      <w:rPr>
        <w:b/>
        <w:noProof/>
        <w:sz w:val="20"/>
        <w:szCs w:val="20"/>
      </w:rPr>
      <w:t>PGECOLTG110 R6 Energy Star Interior CF.docx</w:t>
    </w:r>
    <w:r w:rsidRPr="00A37AEF">
      <w:rPr>
        <w:b/>
        <w:sz w:val="20"/>
        <w:szCs w:val="20"/>
      </w:rPr>
      <w:fldChar w:fldCharType="end"/>
    </w:r>
    <w:r w:rsidRPr="00A37AEF">
      <w:rPr>
        <w:b/>
        <w:sz w:val="20"/>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Pr="002E0E3F" w:rsidRDefault="00054C93" w:rsidP="0017342E">
    <w:pPr>
      <w:pStyle w:val="Footer"/>
      <w:jc w:val="right"/>
      <w:rPr>
        <w:rFonts w:ascii="Arial" w:hAnsi="Arial" w:cs="Arial"/>
        <w:b/>
        <w:sz w:val="36"/>
        <w:szCs w:val="36"/>
      </w:rPr>
    </w:pPr>
    <w:r>
      <w:rPr>
        <w:rFonts w:ascii="Arial" w:hAnsi="Arial" w:cs="Arial"/>
        <w:b/>
        <w:sz w:val="36"/>
        <w:szCs w:val="36"/>
      </w:rPr>
      <w:t>Date of Last Revision</w:t>
    </w:r>
  </w:p>
  <w:p w:rsidR="00054C93" w:rsidRDefault="00054C9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4C93" w:rsidRDefault="00054C9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Pr="002E0E3F" w:rsidRDefault="00054C93" w:rsidP="00D7047A">
    <w:pPr>
      <w:pStyle w:val="Footer"/>
      <w:jc w:val="right"/>
      <w:rPr>
        <w:rFonts w:ascii="Arial" w:hAnsi="Arial" w:cs="Arial"/>
        <w:b/>
        <w:sz w:val="36"/>
        <w:szCs w:val="36"/>
      </w:rPr>
    </w:pPr>
    <w:r>
      <w:rPr>
        <w:rFonts w:ascii="Arial" w:hAnsi="Arial" w:cs="Arial"/>
        <w:b/>
        <w:sz w:val="36"/>
        <w:szCs w:val="36"/>
      </w:rPr>
      <w:t>Date of Last Revision</w:t>
    </w:r>
  </w:p>
  <w:p w:rsidR="00054C93" w:rsidRDefault="00054C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C93" w:rsidRDefault="00054C93">
      <w:r>
        <w:separator/>
      </w:r>
    </w:p>
  </w:footnote>
  <w:footnote w:type="continuationSeparator" w:id="0">
    <w:p w:rsidR="00054C93" w:rsidRDefault="00054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5F7D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1A573F">
    <w:pPr>
      <w:pStyle w:val="Header"/>
      <w:jc w:val="right"/>
    </w:pPr>
  </w:p>
  <w:p w:rsidR="00054C93" w:rsidRDefault="00054C9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5F7D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35.05pt;height:174pt;rotation:315;z-index:-25165670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17342E">
    <w:pPr>
      <w:pStyle w:val="Header"/>
      <w:jc w:val="right"/>
    </w:pPr>
  </w:p>
  <w:p w:rsidR="00054C93" w:rsidRDefault="00054C93" w:rsidP="0017342E">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5F7D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5F7D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054C93" w:rsidP="001A573F">
    <w:pPr>
      <w:pStyle w:val="Header"/>
      <w:jc w:val="right"/>
    </w:pPr>
  </w:p>
  <w:p w:rsidR="00054C93" w:rsidRDefault="00054C93" w:rsidP="001A573F">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C93" w:rsidRDefault="005F7D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80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F233FA"/>
    <w:multiLevelType w:val="hybridMultilevel"/>
    <w:tmpl w:val="6EA08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22E"/>
    <w:rsid w:val="00011027"/>
    <w:rsid w:val="00014740"/>
    <w:rsid w:val="000170B5"/>
    <w:rsid w:val="00017488"/>
    <w:rsid w:val="00024AA9"/>
    <w:rsid w:val="00026313"/>
    <w:rsid w:val="00026F78"/>
    <w:rsid w:val="000272C2"/>
    <w:rsid w:val="0003064A"/>
    <w:rsid w:val="000351CB"/>
    <w:rsid w:val="00054C93"/>
    <w:rsid w:val="000571F6"/>
    <w:rsid w:val="00057C09"/>
    <w:rsid w:val="00057FA4"/>
    <w:rsid w:val="000606FE"/>
    <w:rsid w:val="00064698"/>
    <w:rsid w:val="0006490F"/>
    <w:rsid w:val="00066D5B"/>
    <w:rsid w:val="000678A2"/>
    <w:rsid w:val="00067EB5"/>
    <w:rsid w:val="000719AA"/>
    <w:rsid w:val="000749EA"/>
    <w:rsid w:val="00074C94"/>
    <w:rsid w:val="00077161"/>
    <w:rsid w:val="000814B9"/>
    <w:rsid w:val="000842B9"/>
    <w:rsid w:val="00085DF5"/>
    <w:rsid w:val="00086594"/>
    <w:rsid w:val="00087378"/>
    <w:rsid w:val="00093A1A"/>
    <w:rsid w:val="00095610"/>
    <w:rsid w:val="000966CC"/>
    <w:rsid w:val="000A2FB3"/>
    <w:rsid w:val="000A48F2"/>
    <w:rsid w:val="000A59B3"/>
    <w:rsid w:val="000B0B1E"/>
    <w:rsid w:val="000B0CDD"/>
    <w:rsid w:val="000B462F"/>
    <w:rsid w:val="000B531B"/>
    <w:rsid w:val="000B6858"/>
    <w:rsid w:val="000C0EDE"/>
    <w:rsid w:val="000C3D66"/>
    <w:rsid w:val="000C5213"/>
    <w:rsid w:val="000C5F62"/>
    <w:rsid w:val="000D0468"/>
    <w:rsid w:val="000D4197"/>
    <w:rsid w:val="000D6F7B"/>
    <w:rsid w:val="000E0699"/>
    <w:rsid w:val="000E31B5"/>
    <w:rsid w:val="000F0069"/>
    <w:rsid w:val="000F3B93"/>
    <w:rsid w:val="000F5D2C"/>
    <w:rsid w:val="000F6A3C"/>
    <w:rsid w:val="00102CCB"/>
    <w:rsid w:val="00115EB1"/>
    <w:rsid w:val="00124175"/>
    <w:rsid w:val="001248A3"/>
    <w:rsid w:val="00124D28"/>
    <w:rsid w:val="00124F32"/>
    <w:rsid w:val="00126483"/>
    <w:rsid w:val="00126A4E"/>
    <w:rsid w:val="001271DD"/>
    <w:rsid w:val="001274F4"/>
    <w:rsid w:val="00127CC8"/>
    <w:rsid w:val="0013046A"/>
    <w:rsid w:val="0013087E"/>
    <w:rsid w:val="001361BF"/>
    <w:rsid w:val="00136D56"/>
    <w:rsid w:val="00146935"/>
    <w:rsid w:val="00146C80"/>
    <w:rsid w:val="00150EC7"/>
    <w:rsid w:val="00155EF5"/>
    <w:rsid w:val="00156D8F"/>
    <w:rsid w:val="00167F2B"/>
    <w:rsid w:val="0017342E"/>
    <w:rsid w:val="00176026"/>
    <w:rsid w:val="00176431"/>
    <w:rsid w:val="00182D12"/>
    <w:rsid w:val="00190C16"/>
    <w:rsid w:val="00190EF8"/>
    <w:rsid w:val="001929CB"/>
    <w:rsid w:val="0019313E"/>
    <w:rsid w:val="00194E14"/>
    <w:rsid w:val="001965AF"/>
    <w:rsid w:val="00196D7C"/>
    <w:rsid w:val="001A13EB"/>
    <w:rsid w:val="001A1DFB"/>
    <w:rsid w:val="001A4516"/>
    <w:rsid w:val="001A573F"/>
    <w:rsid w:val="001A64C6"/>
    <w:rsid w:val="001A7081"/>
    <w:rsid w:val="001A73E3"/>
    <w:rsid w:val="001B242B"/>
    <w:rsid w:val="001B3BA7"/>
    <w:rsid w:val="001B75E6"/>
    <w:rsid w:val="001B792D"/>
    <w:rsid w:val="001C6DCA"/>
    <w:rsid w:val="001D16C2"/>
    <w:rsid w:val="001D24DD"/>
    <w:rsid w:val="001D3F48"/>
    <w:rsid w:val="001D483C"/>
    <w:rsid w:val="001D48B2"/>
    <w:rsid w:val="001D6EB2"/>
    <w:rsid w:val="001D7F63"/>
    <w:rsid w:val="001E0171"/>
    <w:rsid w:val="001E12F0"/>
    <w:rsid w:val="001E2E9F"/>
    <w:rsid w:val="001E43F9"/>
    <w:rsid w:val="001E7AAA"/>
    <w:rsid w:val="001F017D"/>
    <w:rsid w:val="001F4083"/>
    <w:rsid w:val="001F627F"/>
    <w:rsid w:val="001F7023"/>
    <w:rsid w:val="00200174"/>
    <w:rsid w:val="00200E22"/>
    <w:rsid w:val="00207468"/>
    <w:rsid w:val="002116AB"/>
    <w:rsid w:val="002123F8"/>
    <w:rsid w:val="002154B2"/>
    <w:rsid w:val="00217BDB"/>
    <w:rsid w:val="002203EA"/>
    <w:rsid w:val="002257FA"/>
    <w:rsid w:val="00235694"/>
    <w:rsid w:val="00240DC5"/>
    <w:rsid w:val="0024233E"/>
    <w:rsid w:val="00242F0F"/>
    <w:rsid w:val="00243BAC"/>
    <w:rsid w:val="00244BD6"/>
    <w:rsid w:val="00245A56"/>
    <w:rsid w:val="002466F4"/>
    <w:rsid w:val="00252352"/>
    <w:rsid w:val="00255067"/>
    <w:rsid w:val="0025571C"/>
    <w:rsid w:val="0025738E"/>
    <w:rsid w:val="002628B9"/>
    <w:rsid w:val="00270C68"/>
    <w:rsid w:val="0027474D"/>
    <w:rsid w:val="00274A7E"/>
    <w:rsid w:val="00275FEE"/>
    <w:rsid w:val="00276ED1"/>
    <w:rsid w:val="00285AF5"/>
    <w:rsid w:val="0028709C"/>
    <w:rsid w:val="00291D75"/>
    <w:rsid w:val="00293FBA"/>
    <w:rsid w:val="00295B67"/>
    <w:rsid w:val="002A08EF"/>
    <w:rsid w:val="002A26F0"/>
    <w:rsid w:val="002A2C2E"/>
    <w:rsid w:val="002A4B6C"/>
    <w:rsid w:val="002A7051"/>
    <w:rsid w:val="002B0ECF"/>
    <w:rsid w:val="002C12FA"/>
    <w:rsid w:val="002C21F9"/>
    <w:rsid w:val="002C223E"/>
    <w:rsid w:val="002C26EB"/>
    <w:rsid w:val="002C321E"/>
    <w:rsid w:val="002C42E0"/>
    <w:rsid w:val="002C4F1C"/>
    <w:rsid w:val="002C7B46"/>
    <w:rsid w:val="002D435B"/>
    <w:rsid w:val="002D4621"/>
    <w:rsid w:val="002D64BE"/>
    <w:rsid w:val="002D6522"/>
    <w:rsid w:val="002E0043"/>
    <w:rsid w:val="002E1B6E"/>
    <w:rsid w:val="002E40A2"/>
    <w:rsid w:val="002E47B4"/>
    <w:rsid w:val="002E481A"/>
    <w:rsid w:val="002E51C1"/>
    <w:rsid w:val="002E5671"/>
    <w:rsid w:val="002F0168"/>
    <w:rsid w:val="002F105C"/>
    <w:rsid w:val="002F3FE5"/>
    <w:rsid w:val="002F4E8C"/>
    <w:rsid w:val="002F56DD"/>
    <w:rsid w:val="0030114D"/>
    <w:rsid w:val="00302B74"/>
    <w:rsid w:val="003032B7"/>
    <w:rsid w:val="0030550A"/>
    <w:rsid w:val="0030561F"/>
    <w:rsid w:val="00307942"/>
    <w:rsid w:val="00311207"/>
    <w:rsid w:val="003129E8"/>
    <w:rsid w:val="00315AB7"/>
    <w:rsid w:val="003209C1"/>
    <w:rsid w:val="00320E20"/>
    <w:rsid w:val="00321D66"/>
    <w:rsid w:val="00324D0F"/>
    <w:rsid w:val="003259CD"/>
    <w:rsid w:val="00330010"/>
    <w:rsid w:val="00330EB4"/>
    <w:rsid w:val="00331E4C"/>
    <w:rsid w:val="00335017"/>
    <w:rsid w:val="00337257"/>
    <w:rsid w:val="00340DAD"/>
    <w:rsid w:val="003435E9"/>
    <w:rsid w:val="00345DE6"/>
    <w:rsid w:val="0034647B"/>
    <w:rsid w:val="003474F7"/>
    <w:rsid w:val="00350382"/>
    <w:rsid w:val="00353DC2"/>
    <w:rsid w:val="00354226"/>
    <w:rsid w:val="00356D6A"/>
    <w:rsid w:val="00362067"/>
    <w:rsid w:val="00365E79"/>
    <w:rsid w:val="0037249D"/>
    <w:rsid w:val="00374640"/>
    <w:rsid w:val="00377407"/>
    <w:rsid w:val="00380DB6"/>
    <w:rsid w:val="00382EFB"/>
    <w:rsid w:val="0038391A"/>
    <w:rsid w:val="003859E7"/>
    <w:rsid w:val="00392B5E"/>
    <w:rsid w:val="00393618"/>
    <w:rsid w:val="00393D41"/>
    <w:rsid w:val="00395845"/>
    <w:rsid w:val="00396733"/>
    <w:rsid w:val="00397710"/>
    <w:rsid w:val="003A1B51"/>
    <w:rsid w:val="003A3356"/>
    <w:rsid w:val="003A5012"/>
    <w:rsid w:val="003A5BA4"/>
    <w:rsid w:val="003A648E"/>
    <w:rsid w:val="003B384E"/>
    <w:rsid w:val="003B6A5D"/>
    <w:rsid w:val="003B78E1"/>
    <w:rsid w:val="003C3A3C"/>
    <w:rsid w:val="003C47B7"/>
    <w:rsid w:val="003C48C5"/>
    <w:rsid w:val="003C5980"/>
    <w:rsid w:val="003C6DFA"/>
    <w:rsid w:val="003D11FF"/>
    <w:rsid w:val="003D198E"/>
    <w:rsid w:val="003D3F36"/>
    <w:rsid w:val="003D5191"/>
    <w:rsid w:val="003D60B8"/>
    <w:rsid w:val="003E24CE"/>
    <w:rsid w:val="003E2CB6"/>
    <w:rsid w:val="003E3441"/>
    <w:rsid w:val="003E3941"/>
    <w:rsid w:val="003E540D"/>
    <w:rsid w:val="003F3DED"/>
    <w:rsid w:val="003F5B70"/>
    <w:rsid w:val="003F69CD"/>
    <w:rsid w:val="0040323C"/>
    <w:rsid w:val="004078BB"/>
    <w:rsid w:val="0041339D"/>
    <w:rsid w:val="00415754"/>
    <w:rsid w:val="00416984"/>
    <w:rsid w:val="00421ED8"/>
    <w:rsid w:val="0042297B"/>
    <w:rsid w:val="00422F19"/>
    <w:rsid w:val="00425FE9"/>
    <w:rsid w:val="00426828"/>
    <w:rsid w:val="00427131"/>
    <w:rsid w:val="004323E9"/>
    <w:rsid w:val="00432995"/>
    <w:rsid w:val="004339ED"/>
    <w:rsid w:val="00435F8F"/>
    <w:rsid w:val="00436F7E"/>
    <w:rsid w:val="00437390"/>
    <w:rsid w:val="0044128D"/>
    <w:rsid w:val="0044337C"/>
    <w:rsid w:val="0044398D"/>
    <w:rsid w:val="00445790"/>
    <w:rsid w:val="00450273"/>
    <w:rsid w:val="004524E9"/>
    <w:rsid w:val="004551F3"/>
    <w:rsid w:val="00455856"/>
    <w:rsid w:val="004563F1"/>
    <w:rsid w:val="004602EC"/>
    <w:rsid w:val="004617A6"/>
    <w:rsid w:val="00467FE9"/>
    <w:rsid w:val="004800E2"/>
    <w:rsid w:val="004803BE"/>
    <w:rsid w:val="004809C9"/>
    <w:rsid w:val="00484B26"/>
    <w:rsid w:val="00486CF9"/>
    <w:rsid w:val="00487D95"/>
    <w:rsid w:val="00492048"/>
    <w:rsid w:val="00496B39"/>
    <w:rsid w:val="00497CD3"/>
    <w:rsid w:val="004A2D46"/>
    <w:rsid w:val="004A6FCA"/>
    <w:rsid w:val="004B2CFB"/>
    <w:rsid w:val="004B56D1"/>
    <w:rsid w:val="004C4E2A"/>
    <w:rsid w:val="004C56D1"/>
    <w:rsid w:val="004D2C76"/>
    <w:rsid w:val="004D58D5"/>
    <w:rsid w:val="004D71AF"/>
    <w:rsid w:val="004E3AC6"/>
    <w:rsid w:val="004F1688"/>
    <w:rsid w:val="004F1DB8"/>
    <w:rsid w:val="004F3ECB"/>
    <w:rsid w:val="004F3EDB"/>
    <w:rsid w:val="004F55EC"/>
    <w:rsid w:val="004F5A85"/>
    <w:rsid w:val="004F61DD"/>
    <w:rsid w:val="00502569"/>
    <w:rsid w:val="00506204"/>
    <w:rsid w:val="005101C6"/>
    <w:rsid w:val="00511171"/>
    <w:rsid w:val="0051364B"/>
    <w:rsid w:val="005136CC"/>
    <w:rsid w:val="00513858"/>
    <w:rsid w:val="00514EEC"/>
    <w:rsid w:val="0051543E"/>
    <w:rsid w:val="00521874"/>
    <w:rsid w:val="00521920"/>
    <w:rsid w:val="00524E30"/>
    <w:rsid w:val="00530A18"/>
    <w:rsid w:val="00530B04"/>
    <w:rsid w:val="0053263A"/>
    <w:rsid w:val="00533C09"/>
    <w:rsid w:val="0053683E"/>
    <w:rsid w:val="005403E8"/>
    <w:rsid w:val="00542990"/>
    <w:rsid w:val="00542A98"/>
    <w:rsid w:val="0054599C"/>
    <w:rsid w:val="005470FB"/>
    <w:rsid w:val="005518EE"/>
    <w:rsid w:val="00551EF3"/>
    <w:rsid w:val="00554084"/>
    <w:rsid w:val="0056163A"/>
    <w:rsid w:val="00562217"/>
    <w:rsid w:val="00567397"/>
    <w:rsid w:val="00574712"/>
    <w:rsid w:val="00575E63"/>
    <w:rsid w:val="005773BB"/>
    <w:rsid w:val="0057763E"/>
    <w:rsid w:val="00581CF0"/>
    <w:rsid w:val="00582FC8"/>
    <w:rsid w:val="00585C83"/>
    <w:rsid w:val="005860E9"/>
    <w:rsid w:val="00590275"/>
    <w:rsid w:val="005A1F9D"/>
    <w:rsid w:val="005A3352"/>
    <w:rsid w:val="005A3798"/>
    <w:rsid w:val="005A7302"/>
    <w:rsid w:val="005B1A22"/>
    <w:rsid w:val="005B4516"/>
    <w:rsid w:val="005B7AFF"/>
    <w:rsid w:val="005C2844"/>
    <w:rsid w:val="005C3858"/>
    <w:rsid w:val="005C54F5"/>
    <w:rsid w:val="005C7F3F"/>
    <w:rsid w:val="005D6266"/>
    <w:rsid w:val="005E4FE9"/>
    <w:rsid w:val="005E7868"/>
    <w:rsid w:val="005F19E0"/>
    <w:rsid w:val="005F57B5"/>
    <w:rsid w:val="005F7AA1"/>
    <w:rsid w:val="005F7D49"/>
    <w:rsid w:val="00601FFB"/>
    <w:rsid w:val="00604FAE"/>
    <w:rsid w:val="0061001E"/>
    <w:rsid w:val="00610B3C"/>
    <w:rsid w:val="006119A1"/>
    <w:rsid w:val="00622319"/>
    <w:rsid w:val="00623394"/>
    <w:rsid w:val="0062416A"/>
    <w:rsid w:val="00625FB3"/>
    <w:rsid w:val="00626A89"/>
    <w:rsid w:val="00627CB7"/>
    <w:rsid w:val="00627E2A"/>
    <w:rsid w:val="00630BFE"/>
    <w:rsid w:val="00632A52"/>
    <w:rsid w:val="00636012"/>
    <w:rsid w:val="00636987"/>
    <w:rsid w:val="0064213B"/>
    <w:rsid w:val="00642900"/>
    <w:rsid w:val="00642FCD"/>
    <w:rsid w:val="006435D3"/>
    <w:rsid w:val="00652DD9"/>
    <w:rsid w:val="006531F2"/>
    <w:rsid w:val="006559C8"/>
    <w:rsid w:val="00657405"/>
    <w:rsid w:val="006605C2"/>
    <w:rsid w:val="00662B80"/>
    <w:rsid w:val="00663A00"/>
    <w:rsid w:val="00664A66"/>
    <w:rsid w:val="00674726"/>
    <w:rsid w:val="006832A4"/>
    <w:rsid w:val="006872DB"/>
    <w:rsid w:val="00695ED2"/>
    <w:rsid w:val="006A0146"/>
    <w:rsid w:val="006A1022"/>
    <w:rsid w:val="006A1A83"/>
    <w:rsid w:val="006A2C4B"/>
    <w:rsid w:val="006A35AD"/>
    <w:rsid w:val="006A55D2"/>
    <w:rsid w:val="006B3AD4"/>
    <w:rsid w:val="006B5865"/>
    <w:rsid w:val="006B763D"/>
    <w:rsid w:val="006C5304"/>
    <w:rsid w:val="006C56E9"/>
    <w:rsid w:val="006C7EDC"/>
    <w:rsid w:val="006D4AE1"/>
    <w:rsid w:val="006D52D8"/>
    <w:rsid w:val="006E0111"/>
    <w:rsid w:val="006E0A40"/>
    <w:rsid w:val="006E2948"/>
    <w:rsid w:val="006E4692"/>
    <w:rsid w:val="006F0139"/>
    <w:rsid w:val="006F214B"/>
    <w:rsid w:val="006F28C7"/>
    <w:rsid w:val="006F388F"/>
    <w:rsid w:val="006F7130"/>
    <w:rsid w:val="00702D1F"/>
    <w:rsid w:val="0070443C"/>
    <w:rsid w:val="00706585"/>
    <w:rsid w:val="00712477"/>
    <w:rsid w:val="00713401"/>
    <w:rsid w:val="00721A54"/>
    <w:rsid w:val="00721C75"/>
    <w:rsid w:val="007228DB"/>
    <w:rsid w:val="00723862"/>
    <w:rsid w:val="00727276"/>
    <w:rsid w:val="00731859"/>
    <w:rsid w:val="00732618"/>
    <w:rsid w:val="007326C1"/>
    <w:rsid w:val="00733275"/>
    <w:rsid w:val="00735A4C"/>
    <w:rsid w:val="00735CB1"/>
    <w:rsid w:val="00737582"/>
    <w:rsid w:val="007423E4"/>
    <w:rsid w:val="00742E8A"/>
    <w:rsid w:val="007431B7"/>
    <w:rsid w:val="00745482"/>
    <w:rsid w:val="00746DDC"/>
    <w:rsid w:val="00747323"/>
    <w:rsid w:val="007475AA"/>
    <w:rsid w:val="0075061C"/>
    <w:rsid w:val="007545AA"/>
    <w:rsid w:val="00754D25"/>
    <w:rsid w:val="00755961"/>
    <w:rsid w:val="00756A18"/>
    <w:rsid w:val="00757590"/>
    <w:rsid w:val="007608B4"/>
    <w:rsid w:val="007652CE"/>
    <w:rsid w:val="00766E3B"/>
    <w:rsid w:val="007717A1"/>
    <w:rsid w:val="007736B6"/>
    <w:rsid w:val="007821CF"/>
    <w:rsid w:val="00782F14"/>
    <w:rsid w:val="00783E77"/>
    <w:rsid w:val="00785112"/>
    <w:rsid w:val="00786700"/>
    <w:rsid w:val="007877E0"/>
    <w:rsid w:val="007878B9"/>
    <w:rsid w:val="0079521E"/>
    <w:rsid w:val="00796071"/>
    <w:rsid w:val="00797DC9"/>
    <w:rsid w:val="007A1510"/>
    <w:rsid w:val="007A768C"/>
    <w:rsid w:val="007B27CC"/>
    <w:rsid w:val="007B292C"/>
    <w:rsid w:val="007B2CAC"/>
    <w:rsid w:val="007B44FB"/>
    <w:rsid w:val="007C0E38"/>
    <w:rsid w:val="007C18E3"/>
    <w:rsid w:val="007C4E08"/>
    <w:rsid w:val="007D2F4C"/>
    <w:rsid w:val="007D3DFF"/>
    <w:rsid w:val="007D3F38"/>
    <w:rsid w:val="007D4367"/>
    <w:rsid w:val="007D4DB8"/>
    <w:rsid w:val="007E2197"/>
    <w:rsid w:val="007E2A34"/>
    <w:rsid w:val="007E3304"/>
    <w:rsid w:val="007E3AF9"/>
    <w:rsid w:val="007E6ED8"/>
    <w:rsid w:val="007E7C24"/>
    <w:rsid w:val="007F1E48"/>
    <w:rsid w:val="007F3BE7"/>
    <w:rsid w:val="007F6C7D"/>
    <w:rsid w:val="00811D89"/>
    <w:rsid w:val="008138BC"/>
    <w:rsid w:val="00814500"/>
    <w:rsid w:val="008202A2"/>
    <w:rsid w:val="00821520"/>
    <w:rsid w:val="00821F9F"/>
    <w:rsid w:val="00822F77"/>
    <w:rsid w:val="008231C5"/>
    <w:rsid w:val="00831813"/>
    <w:rsid w:val="00833AF7"/>
    <w:rsid w:val="00835579"/>
    <w:rsid w:val="00844106"/>
    <w:rsid w:val="00844B27"/>
    <w:rsid w:val="00844D29"/>
    <w:rsid w:val="00846195"/>
    <w:rsid w:val="00846FA0"/>
    <w:rsid w:val="008479B6"/>
    <w:rsid w:val="00852ABD"/>
    <w:rsid w:val="00855C93"/>
    <w:rsid w:val="008570C2"/>
    <w:rsid w:val="0086002F"/>
    <w:rsid w:val="00863F9D"/>
    <w:rsid w:val="0086628A"/>
    <w:rsid w:val="00871279"/>
    <w:rsid w:val="00872913"/>
    <w:rsid w:val="00873F82"/>
    <w:rsid w:val="008762C3"/>
    <w:rsid w:val="008771CD"/>
    <w:rsid w:val="00877AC4"/>
    <w:rsid w:val="008817B1"/>
    <w:rsid w:val="00881877"/>
    <w:rsid w:val="008834BB"/>
    <w:rsid w:val="008846D2"/>
    <w:rsid w:val="00884DE5"/>
    <w:rsid w:val="00890F95"/>
    <w:rsid w:val="00891471"/>
    <w:rsid w:val="00891A8C"/>
    <w:rsid w:val="0089311A"/>
    <w:rsid w:val="00894189"/>
    <w:rsid w:val="008946C3"/>
    <w:rsid w:val="008948E0"/>
    <w:rsid w:val="00896296"/>
    <w:rsid w:val="008A050B"/>
    <w:rsid w:val="008A346D"/>
    <w:rsid w:val="008B034D"/>
    <w:rsid w:val="008B0BBC"/>
    <w:rsid w:val="008B1123"/>
    <w:rsid w:val="008B4B41"/>
    <w:rsid w:val="008B7927"/>
    <w:rsid w:val="008C71B5"/>
    <w:rsid w:val="008D47DC"/>
    <w:rsid w:val="008D7A33"/>
    <w:rsid w:val="008E4251"/>
    <w:rsid w:val="008E431F"/>
    <w:rsid w:val="008E6B31"/>
    <w:rsid w:val="008F12D4"/>
    <w:rsid w:val="008F386F"/>
    <w:rsid w:val="008F3AD4"/>
    <w:rsid w:val="0090295A"/>
    <w:rsid w:val="00903C95"/>
    <w:rsid w:val="009046D4"/>
    <w:rsid w:val="00907EE6"/>
    <w:rsid w:val="0091058D"/>
    <w:rsid w:val="00913A0F"/>
    <w:rsid w:val="00914959"/>
    <w:rsid w:val="009165A5"/>
    <w:rsid w:val="0091660D"/>
    <w:rsid w:val="009168A1"/>
    <w:rsid w:val="00923EF9"/>
    <w:rsid w:val="00924681"/>
    <w:rsid w:val="0092622E"/>
    <w:rsid w:val="0094170E"/>
    <w:rsid w:val="00945CB0"/>
    <w:rsid w:val="00946795"/>
    <w:rsid w:val="00952F87"/>
    <w:rsid w:val="00955CBA"/>
    <w:rsid w:val="00963B5E"/>
    <w:rsid w:val="00963FA0"/>
    <w:rsid w:val="0096491F"/>
    <w:rsid w:val="00974E95"/>
    <w:rsid w:val="00976EB2"/>
    <w:rsid w:val="00977BF5"/>
    <w:rsid w:val="0098302D"/>
    <w:rsid w:val="0098447A"/>
    <w:rsid w:val="00986A2B"/>
    <w:rsid w:val="00987608"/>
    <w:rsid w:val="009931AC"/>
    <w:rsid w:val="009934C6"/>
    <w:rsid w:val="0099374F"/>
    <w:rsid w:val="00994B45"/>
    <w:rsid w:val="009953BC"/>
    <w:rsid w:val="009963D2"/>
    <w:rsid w:val="009A16BE"/>
    <w:rsid w:val="009A2337"/>
    <w:rsid w:val="009A7B5A"/>
    <w:rsid w:val="009A7F79"/>
    <w:rsid w:val="009B2BDC"/>
    <w:rsid w:val="009B4DF2"/>
    <w:rsid w:val="009B6201"/>
    <w:rsid w:val="009C10D9"/>
    <w:rsid w:val="009D1DF4"/>
    <w:rsid w:val="009D4374"/>
    <w:rsid w:val="009D7A24"/>
    <w:rsid w:val="009E00E4"/>
    <w:rsid w:val="009E0F6B"/>
    <w:rsid w:val="009E3255"/>
    <w:rsid w:val="009E362F"/>
    <w:rsid w:val="009E42B2"/>
    <w:rsid w:val="009E505F"/>
    <w:rsid w:val="009E5D18"/>
    <w:rsid w:val="009E5F62"/>
    <w:rsid w:val="009F55F9"/>
    <w:rsid w:val="009F6F8B"/>
    <w:rsid w:val="009F7164"/>
    <w:rsid w:val="00A127DD"/>
    <w:rsid w:val="00A14E6C"/>
    <w:rsid w:val="00A167EC"/>
    <w:rsid w:val="00A21F2C"/>
    <w:rsid w:val="00A24C8D"/>
    <w:rsid w:val="00A26F15"/>
    <w:rsid w:val="00A30494"/>
    <w:rsid w:val="00A30E37"/>
    <w:rsid w:val="00A3345B"/>
    <w:rsid w:val="00A35CF8"/>
    <w:rsid w:val="00A360E7"/>
    <w:rsid w:val="00A369EE"/>
    <w:rsid w:val="00A37AEF"/>
    <w:rsid w:val="00A400FB"/>
    <w:rsid w:val="00A443AF"/>
    <w:rsid w:val="00A44DC5"/>
    <w:rsid w:val="00A456B3"/>
    <w:rsid w:val="00A51D78"/>
    <w:rsid w:val="00A51EA8"/>
    <w:rsid w:val="00A522F2"/>
    <w:rsid w:val="00A525FC"/>
    <w:rsid w:val="00A549C3"/>
    <w:rsid w:val="00A561A8"/>
    <w:rsid w:val="00A62228"/>
    <w:rsid w:val="00A7007B"/>
    <w:rsid w:val="00A84B87"/>
    <w:rsid w:val="00A84D4B"/>
    <w:rsid w:val="00A8592D"/>
    <w:rsid w:val="00A861B4"/>
    <w:rsid w:val="00A87324"/>
    <w:rsid w:val="00A90D08"/>
    <w:rsid w:val="00A92AAC"/>
    <w:rsid w:val="00A93FFF"/>
    <w:rsid w:val="00A96D45"/>
    <w:rsid w:val="00AA18DD"/>
    <w:rsid w:val="00AA1F91"/>
    <w:rsid w:val="00AA5CE1"/>
    <w:rsid w:val="00AB2D9E"/>
    <w:rsid w:val="00AB4404"/>
    <w:rsid w:val="00AC21EE"/>
    <w:rsid w:val="00AC3B22"/>
    <w:rsid w:val="00AD1B42"/>
    <w:rsid w:val="00AD4B84"/>
    <w:rsid w:val="00AE1E5B"/>
    <w:rsid w:val="00AE23BE"/>
    <w:rsid w:val="00AE56E1"/>
    <w:rsid w:val="00AE5772"/>
    <w:rsid w:val="00AE74E7"/>
    <w:rsid w:val="00AF0223"/>
    <w:rsid w:val="00AF0AC0"/>
    <w:rsid w:val="00AF1F17"/>
    <w:rsid w:val="00AF4CA9"/>
    <w:rsid w:val="00B0041C"/>
    <w:rsid w:val="00B008BF"/>
    <w:rsid w:val="00B14220"/>
    <w:rsid w:val="00B16B7C"/>
    <w:rsid w:val="00B17EBB"/>
    <w:rsid w:val="00B24877"/>
    <w:rsid w:val="00B24A55"/>
    <w:rsid w:val="00B24A6F"/>
    <w:rsid w:val="00B3434E"/>
    <w:rsid w:val="00B351FD"/>
    <w:rsid w:val="00B35BFD"/>
    <w:rsid w:val="00B421F2"/>
    <w:rsid w:val="00B42822"/>
    <w:rsid w:val="00B4395A"/>
    <w:rsid w:val="00B47091"/>
    <w:rsid w:val="00B47E14"/>
    <w:rsid w:val="00B54256"/>
    <w:rsid w:val="00B545F4"/>
    <w:rsid w:val="00B56303"/>
    <w:rsid w:val="00B64F62"/>
    <w:rsid w:val="00B66A24"/>
    <w:rsid w:val="00B70B1C"/>
    <w:rsid w:val="00B7164C"/>
    <w:rsid w:val="00B73403"/>
    <w:rsid w:val="00B80F53"/>
    <w:rsid w:val="00B82BD1"/>
    <w:rsid w:val="00B82E26"/>
    <w:rsid w:val="00B95454"/>
    <w:rsid w:val="00B95FBC"/>
    <w:rsid w:val="00B961FC"/>
    <w:rsid w:val="00B968CF"/>
    <w:rsid w:val="00B96C0C"/>
    <w:rsid w:val="00B97C44"/>
    <w:rsid w:val="00BA05AE"/>
    <w:rsid w:val="00BA109B"/>
    <w:rsid w:val="00BA2FA3"/>
    <w:rsid w:val="00BA5EB9"/>
    <w:rsid w:val="00BA6418"/>
    <w:rsid w:val="00BB3A8F"/>
    <w:rsid w:val="00BC2FF6"/>
    <w:rsid w:val="00BD1DBC"/>
    <w:rsid w:val="00BD45F3"/>
    <w:rsid w:val="00BD4946"/>
    <w:rsid w:val="00BD5425"/>
    <w:rsid w:val="00BD7157"/>
    <w:rsid w:val="00BD74A6"/>
    <w:rsid w:val="00BD7735"/>
    <w:rsid w:val="00BE6B9E"/>
    <w:rsid w:val="00BF0332"/>
    <w:rsid w:val="00BF5FCC"/>
    <w:rsid w:val="00BF7371"/>
    <w:rsid w:val="00C069A2"/>
    <w:rsid w:val="00C069EC"/>
    <w:rsid w:val="00C10DB4"/>
    <w:rsid w:val="00C17416"/>
    <w:rsid w:val="00C212EB"/>
    <w:rsid w:val="00C221D5"/>
    <w:rsid w:val="00C2280A"/>
    <w:rsid w:val="00C30598"/>
    <w:rsid w:val="00C33C79"/>
    <w:rsid w:val="00C3462E"/>
    <w:rsid w:val="00C432B1"/>
    <w:rsid w:val="00C45C85"/>
    <w:rsid w:val="00C461A5"/>
    <w:rsid w:val="00C533E6"/>
    <w:rsid w:val="00C54415"/>
    <w:rsid w:val="00C552E3"/>
    <w:rsid w:val="00C56730"/>
    <w:rsid w:val="00C6024F"/>
    <w:rsid w:val="00C63D95"/>
    <w:rsid w:val="00C64B94"/>
    <w:rsid w:val="00C663B4"/>
    <w:rsid w:val="00C67847"/>
    <w:rsid w:val="00C726E4"/>
    <w:rsid w:val="00C739BF"/>
    <w:rsid w:val="00C8301A"/>
    <w:rsid w:val="00C83C5B"/>
    <w:rsid w:val="00C90663"/>
    <w:rsid w:val="00C91DAF"/>
    <w:rsid w:val="00C93DCA"/>
    <w:rsid w:val="00C9462E"/>
    <w:rsid w:val="00C95CD4"/>
    <w:rsid w:val="00CA06A7"/>
    <w:rsid w:val="00CA071B"/>
    <w:rsid w:val="00CA0B3A"/>
    <w:rsid w:val="00CA2980"/>
    <w:rsid w:val="00CA5466"/>
    <w:rsid w:val="00CB1664"/>
    <w:rsid w:val="00CB2C4F"/>
    <w:rsid w:val="00CB3583"/>
    <w:rsid w:val="00CC34FF"/>
    <w:rsid w:val="00CC44F0"/>
    <w:rsid w:val="00CC6BE1"/>
    <w:rsid w:val="00CC7A9D"/>
    <w:rsid w:val="00CD0B67"/>
    <w:rsid w:val="00CD396E"/>
    <w:rsid w:val="00CD5104"/>
    <w:rsid w:val="00CD6046"/>
    <w:rsid w:val="00CE202E"/>
    <w:rsid w:val="00CE2229"/>
    <w:rsid w:val="00CE24C7"/>
    <w:rsid w:val="00CE374E"/>
    <w:rsid w:val="00CE3DE7"/>
    <w:rsid w:val="00CE6DFB"/>
    <w:rsid w:val="00CF0534"/>
    <w:rsid w:val="00CF2B5A"/>
    <w:rsid w:val="00CF41AF"/>
    <w:rsid w:val="00CF6815"/>
    <w:rsid w:val="00D04D3D"/>
    <w:rsid w:val="00D11B02"/>
    <w:rsid w:val="00D1202C"/>
    <w:rsid w:val="00D20486"/>
    <w:rsid w:val="00D20FC4"/>
    <w:rsid w:val="00D228D8"/>
    <w:rsid w:val="00D27AA1"/>
    <w:rsid w:val="00D31439"/>
    <w:rsid w:val="00D33677"/>
    <w:rsid w:val="00D42875"/>
    <w:rsid w:val="00D42B44"/>
    <w:rsid w:val="00D44A14"/>
    <w:rsid w:val="00D450D3"/>
    <w:rsid w:val="00D463A4"/>
    <w:rsid w:val="00D51D95"/>
    <w:rsid w:val="00D53EC6"/>
    <w:rsid w:val="00D55A00"/>
    <w:rsid w:val="00D56F77"/>
    <w:rsid w:val="00D571D9"/>
    <w:rsid w:val="00D575A4"/>
    <w:rsid w:val="00D61E9F"/>
    <w:rsid w:val="00D62CC8"/>
    <w:rsid w:val="00D6402F"/>
    <w:rsid w:val="00D6597F"/>
    <w:rsid w:val="00D7047A"/>
    <w:rsid w:val="00D72225"/>
    <w:rsid w:val="00D73550"/>
    <w:rsid w:val="00D838F7"/>
    <w:rsid w:val="00D83E8E"/>
    <w:rsid w:val="00D844FF"/>
    <w:rsid w:val="00D8479E"/>
    <w:rsid w:val="00D91AE6"/>
    <w:rsid w:val="00D95840"/>
    <w:rsid w:val="00D95D58"/>
    <w:rsid w:val="00D971BC"/>
    <w:rsid w:val="00DA1C06"/>
    <w:rsid w:val="00DA2D9E"/>
    <w:rsid w:val="00DA554C"/>
    <w:rsid w:val="00DA5F07"/>
    <w:rsid w:val="00DA6482"/>
    <w:rsid w:val="00DB1214"/>
    <w:rsid w:val="00DB42FB"/>
    <w:rsid w:val="00DB75B6"/>
    <w:rsid w:val="00DB7AEE"/>
    <w:rsid w:val="00DC39C4"/>
    <w:rsid w:val="00DD54AF"/>
    <w:rsid w:val="00DD6B5E"/>
    <w:rsid w:val="00DD6E12"/>
    <w:rsid w:val="00DE4BF6"/>
    <w:rsid w:val="00DE69D0"/>
    <w:rsid w:val="00DE7070"/>
    <w:rsid w:val="00DF21B8"/>
    <w:rsid w:val="00DF31EE"/>
    <w:rsid w:val="00DF322D"/>
    <w:rsid w:val="00DF3395"/>
    <w:rsid w:val="00DF34D4"/>
    <w:rsid w:val="00DF5520"/>
    <w:rsid w:val="00DF7681"/>
    <w:rsid w:val="00E02D36"/>
    <w:rsid w:val="00E03431"/>
    <w:rsid w:val="00E04E43"/>
    <w:rsid w:val="00E10F58"/>
    <w:rsid w:val="00E1143E"/>
    <w:rsid w:val="00E149CE"/>
    <w:rsid w:val="00E15BCC"/>
    <w:rsid w:val="00E16AC4"/>
    <w:rsid w:val="00E21096"/>
    <w:rsid w:val="00E226A0"/>
    <w:rsid w:val="00E23958"/>
    <w:rsid w:val="00E23A59"/>
    <w:rsid w:val="00E23AD4"/>
    <w:rsid w:val="00E23BEC"/>
    <w:rsid w:val="00E2665A"/>
    <w:rsid w:val="00E4181C"/>
    <w:rsid w:val="00E44E9C"/>
    <w:rsid w:val="00E528AF"/>
    <w:rsid w:val="00E53131"/>
    <w:rsid w:val="00E5362F"/>
    <w:rsid w:val="00E5518E"/>
    <w:rsid w:val="00E56222"/>
    <w:rsid w:val="00E57743"/>
    <w:rsid w:val="00E577C9"/>
    <w:rsid w:val="00E62DD3"/>
    <w:rsid w:val="00E66D8F"/>
    <w:rsid w:val="00E6742D"/>
    <w:rsid w:val="00E71707"/>
    <w:rsid w:val="00E71EF1"/>
    <w:rsid w:val="00E731C6"/>
    <w:rsid w:val="00E740C4"/>
    <w:rsid w:val="00E74750"/>
    <w:rsid w:val="00E76686"/>
    <w:rsid w:val="00E80520"/>
    <w:rsid w:val="00E805F1"/>
    <w:rsid w:val="00E840FE"/>
    <w:rsid w:val="00E84DBD"/>
    <w:rsid w:val="00E90F7E"/>
    <w:rsid w:val="00E9128A"/>
    <w:rsid w:val="00E91C15"/>
    <w:rsid w:val="00E943E8"/>
    <w:rsid w:val="00E94FAF"/>
    <w:rsid w:val="00E969C5"/>
    <w:rsid w:val="00E97A53"/>
    <w:rsid w:val="00EA0528"/>
    <w:rsid w:val="00EA30E3"/>
    <w:rsid w:val="00EA347E"/>
    <w:rsid w:val="00EA4E02"/>
    <w:rsid w:val="00EA6276"/>
    <w:rsid w:val="00EB048C"/>
    <w:rsid w:val="00EB29CA"/>
    <w:rsid w:val="00EB2BF1"/>
    <w:rsid w:val="00EB2C67"/>
    <w:rsid w:val="00EB367C"/>
    <w:rsid w:val="00EB46D0"/>
    <w:rsid w:val="00EB4700"/>
    <w:rsid w:val="00EB7431"/>
    <w:rsid w:val="00EC096B"/>
    <w:rsid w:val="00EC49A4"/>
    <w:rsid w:val="00EC5209"/>
    <w:rsid w:val="00ED1C4E"/>
    <w:rsid w:val="00ED21EE"/>
    <w:rsid w:val="00ED356E"/>
    <w:rsid w:val="00ED37E1"/>
    <w:rsid w:val="00ED6A33"/>
    <w:rsid w:val="00ED6C04"/>
    <w:rsid w:val="00EE4094"/>
    <w:rsid w:val="00EE4D57"/>
    <w:rsid w:val="00EE53FF"/>
    <w:rsid w:val="00EE5E83"/>
    <w:rsid w:val="00EE7092"/>
    <w:rsid w:val="00EE720E"/>
    <w:rsid w:val="00EF1EDC"/>
    <w:rsid w:val="00EF2F5C"/>
    <w:rsid w:val="00EF4B5D"/>
    <w:rsid w:val="00EF7590"/>
    <w:rsid w:val="00F00B0C"/>
    <w:rsid w:val="00F024DF"/>
    <w:rsid w:val="00F02E6F"/>
    <w:rsid w:val="00F0354F"/>
    <w:rsid w:val="00F1013F"/>
    <w:rsid w:val="00F10A99"/>
    <w:rsid w:val="00F138A2"/>
    <w:rsid w:val="00F154EB"/>
    <w:rsid w:val="00F20632"/>
    <w:rsid w:val="00F20BDE"/>
    <w:rsid w:val="00F23C26"/>
    <w:rsid w:val="00F26DDA"/>
    <w:rsid w:val="00F3050D"/>
    <w:rsid w:val="00F30846"/>
    <w:rsid w:val="00F30E7C"/>
    <w:rsid w:val="00F327DF"/>
    <w:rsid w:val="00F33121"/>
    <w:rsid w:val="00F33769"/>
    <w:rsid w:val="00F36DEB"/>
    <w:rsid w:val="00F36FAA"/>
    <w:rsid w:val="00F406FD"/>
    <w:rsid w:val="00F414D0"/>
    <w:rsid w:val="00F43D1B"/>
    <w:rsid w:val="00F47D9D"/>
    <w:rsid w:val="00F50A8E"/>
    <w:rsid w:val="00F5191A"/>
    <w:rsid w:val="00F55847"/>
    <w:rsid w:val="00F5756D"/>
    <w:rsid w:val="00F62D7C"/>
    <w:rsid w:val="00F630A2"/>
    <w:rsid w:val="00F65122"/>
    <w:rsid w:val="00F652AB"/>
    <w:rsid w:val="00F65942"/>
    <w:rsid w:val="00F703EF"/>
    <w:rsid w:val="00F72AA0"/>
    <w:rsid w:val="00F76A40"/>
    <w:rsid w:val="00F839D7"/>
    <w:rsid w:val="00F87264"/>
    <w:rsid w:val="00F908E9"/>
    <w:rsid w:val="00F94E5B"/>
    <w:rsid w:val="00F95DC2"/>
    <w:rsid w:val="00FA316B"/>
    <w:rsid w:val="00FA56D6"/>
    <w:rsid w:val="00FA6C24"/>
    <w:rsid w:val="00FA7870"/>
    <w:rsid w:val="00FB1AFB"/>
    <w:rsid w:val="00FB2F90"/>
    <w:rsid w:val="00FB651A"/>
    <w:rsid w:val="00FB6C73"/>
    <w:rsid w:val="00FB6FEA"/>
    <w:rsid w:val="00FC765F"/>
    <w:rsid w:val="00FD5375"/>
    <w:rsid w:val="00FD61A3"/>
    <w:rsid w:val="00FD79F6"/>
    <w:rsid w:val="00FE0371"/>
    <w:rsid w:val="00FE31D0"/>
    <w:rsid w:val="00FE3581"/>
    <w:rsid w:val="00FE6F66"/>
    <w:rsid w:val="00FE7A3F"/>
    <w:rsid w:val="00FF0639"/>
    <w:rsid w:val="00FF16D2"/>
    <w:rsid w:val="00FF5C5C"/>
    <w:rsid w:val="00FF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styleId="BodyTextIndent3">
    <w:name w:val="Body Text Indent 3"/>
    <w:basedOn w:val="Normal"/>
    <w:rsid w:val="00C83C5B"/>
    <w:pPr>
      <w:tabs>
        <w:tab w:val="left" w:pos="720"/>
      </w:tabs>
      <w:overflowPunct w:val="0"/>
      <w:autoSpaceDE w:val="0"/>
      <w:autoSpaceDN w:val="0"/>
      <w:adjustRightInd w:val="0"/>
      <w:ind w:left="720"/>
      <w:textAlignment w:val="baseline"/>
    </w:pPr>
    <w:rPr>
      <w:rFonts w:eastAsia="SimSun"/>
      <w:color w:val="FF0000"/>
      <w:sz w:val="20"/>
      <w:szCs w:val="20"/>
      <w:lang w:eastAsia="zh-CN"/>
    </w:rPr>
  </w:style>
  <w:style w:type="paragraph" w:customStyle="1" w:styleId="Normal2">
    <w:name w:val="Normal2"/>
    <w:basedOn w:val="Normal"/>
    <w:next w:val="Normal"/>
    <w:rsid w:val="007E2A34"/>
    <w:pPr>
      <w:spacing w:line="280" w:lineRule="atLeast"/>
    </w:pPr>
    <w:rPr>
      <w:szCs w:val="20"/>
    </w:rPr>
  </w:style>
  <w:style w:type="paragraph" w:styleId="PlainText">
    <w:name w:val="Plain Text"/>
    <w:basedOn w:val="Normal"/>
    <w:rsid w:val="00B24877"/>
    <w:rPr>
      <w:rFonts w:ascii="Courier New" w:hAnsi="Courier New" w:cs="Courier New"/>
      <w:sz w:val="20"/>
      <w:szCs w:val="20"/>
    </w:rPr>
  </w:style>
  <w:style w:type="character" w:styleId="PlaceholderText">
    <w:name w:val="Placeholder Text"/>
    <w:basedOn w:val="DefaultParagraphFont"/>
    <w:uiPriority w:val="99"/>
    <w:semiHidden/>
    <w:rsid w:val="0025571C"/>
    <w:rPr>
      <w:color w:val="808080"/>
    </w:rPr>
  </w:style>
  <w:style w:type="character" w:customStyle="1" w:styleId="EndnoteTextChar">
    <w:name w:val="Endnote Text Char"/>
    <w:link w:val="EndnoteText"/>
    <w:rsid w:val="00C91DAF"/>
  </w:style>
  <w:style w:type="character" w:customStyle="1" w:styleId="CaptionChar">
    <w:name w:val="Caption Char"/>
    <w:link w:val="Caption"/>
    <w:locked/>
    <w:rsid w:val="00C91DAF"/>
    <w:rPr>
      <w:b/>
      <w:bCs/>
    </w:rPr>
  </w:style>
  <w:style w:type="character" w:customStyle="1" w:styleId="breadcrumbs">
    <w:name w:val="breadcrumbs"/>
    <w:rsid w:val="00C91DAF"/>
  </w:style>
  <w:style w:type="table" w:customStyle="1" w:styleId="TableGrid1">
    <w:name w:val="Table Grid1"/>
    <w:basedOn w:val="TableNormal"/>
    <w:next w:val="TableGrid"/>
    <w:rsid w:val="003D11F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8E6B31"/>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styleId="BodyTextIndent3">
    <w:name w:val="Body Text Indent 3"/>
    <w:basedOn w:val="Normal"/>
    <w:rsid w:val="00C83C5B"/>
    <w:pPr>
      <w:tabs>
        <w:tab w:val="left" w:pos="720"/>
      </w:tabs>
      <w:overflowPunct w:val="0"/>
      <w:autoSpaceDE w:val="0"/>
      <w:autoSpaceDN w:val="0"/>
      <w:adjustRightInd w:val="0"/>
      <w:ind w:left="720"/>
      <w:textAlignment w:val="baseline"/>
    </w:pPr>
    <w:rPr>
      <w:rFonts w:eastAsia="SimSun"/>
      <w:color w:val="FF0000"/>
      <w:sz w:val="20"/>
      <w:szCs w:val="20"/>
      <w:lang w:eastAsia="zh-CN"/>
    </w:rPr>
  </w:style>
  <w:style w:type="paragraph" w:customStyle="1" w:styleId="Normal2">
    <w:name w:val="Normal2"/>
    <w:basedOn w:val="Normal"/>
    <w:next w:val="Normal"/>
    <w:rsid w:val="007E2A34"/>
    <w:pPr>
      <w:spacing w:line="280" w:lineRule="atLeast"/>
    </w:pPr>
    <w:rPr>
      <w:szCs w:val="20"/>
    </w:rPr>
  </w:style>
  <w:style w:type="paragraph" w:styleId="PlainText">
    <w:name w:val="Plain Text"/>
    <w:basedOn w:val="Normal"/>
    <w:rsid w:val="00B24877"/>
    <w:rPr>
      <w:rFonts w:ascii="Courier New" w:hAnsi="Courier New" w:cs="Courier New"/>
      <w:sz w:val="20"/>
      <w:szCs w:val="20"/>
    </w:rPr>
  </w:style>
  <w:style w:type="character" w:styleId="PlaceholderText">
    <w:name w:val="Placeholder Text"/>
    <w:basedOn w:val="DefaultParagraphFont"/>
    <w:uiPriority w:val="99"/>
    <w:semiHidden/>
    <w:rsid w:val="0025571C"/>
    <w:rPr>
      <w:color w:val="808080"/>
    </w:rPr>
  </w:style>
  <w:style w:type="character" w:customStyle="1" w:styleId="EndnoteTextChar">
    <w:name w:val="Endnote Text Char"/>
    <w:link w:val="EndnoteText"/>
    <w:rsid w:val="00C91DAF"/>
  </w:style>
  <w:style w:type="character" w:customStyle="1" w:styleId="CaptionChar">
    <w:name w:val="Caption Char"/>
    <w:link w:val="Caption"/>
    <w:locked/>
    <w:rsid w:val="00C91DAF"/>
    <w:rPr>
      <w:b/>
      <w:bCs/>
    </w:rPr>
  </w:style>
  <w:style w:type="character" w:customStyle="1" w:styleId="breadcrumbs">
    <w:name w:val="breadcrumbs"/>
    <w:rsid w:val="00C91DAF"/>
  </w:style>
  <w:style w:type="table" w:customStyle="1" w:styleId="TableGrid1">
    <w:name w:val="Table Grid1"/>
    <w:basedOn w:val="TableNormal"/>
    <w:next w:val="TableGrid"/>
    <w:rsid w:val="003D11F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8E6B31"/>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4292441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7873851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1.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deeresources.com" TargetMode="External"/><Relationship Id="rId30" Type="http://schemas.openxmlformats.org/officeDocument/2006/relationships/image" Target="media/image2.wmf"/><Relationship Id="rId35"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index.php/deer-versions/2015-uncertain-measures-update"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36A2A-50B9-4CAE-84E5-FBAE2B4770C0}"/>
</file>

<file path=customXml/itemProps2.xml><?xml version="1.0" encoding="utf-8"?>
<ds:datastoreItem xmlns:ds="http://schemas.openxmlformats.org/officeDocument/2006/customXml" ds:itemID="{16067EA7-ABFC-461B-A630-D72FA4BC115D}"/>
</file>

<file path=customXml/itemProps3.xml><?xml version="1.0" encoding="utf-8"?>
<ds:datastoreItem xmlns:ds="http://schemas.openxmlformats.org/officeDocument/2006/customXml" ds:itemID="{8010BBBF-838F-43E9-A1FA-B9F0BC14949D}"/>
</file>

<file path=customXml/itemProps4.xml><?xml version="1.0" encoding="utf-8"?>
<ds:datastoreItem xmlns:ds="http://schemas.openxmlformats.org/officeDocument/2006/customXml" ds:itemID="{843663C5-64F6-49C7-ABEA-6D905A74603F}"/>
</file>

<file path=docProps/app.xml><?xml version="1.0" encoding="utf-8"?>
<Properties xmlns="http://schemas.openxmlformats.org/officeDocument/2006/extended-properties" xmlns:vt="http://schemas.openxmlformats.org/officeDocument/2006/docPropsVTypes">
  <Template>SCE Work Paper Template - Final.dot</Template>
  <TotalTime>1400</TotalTime>
  <Pages>13</Pages>
  <Words>2631</Words>
  <Characters>17720</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20311</CharactersWithSpaces>
  <SharedDoc>false</SharedDoc>
  <HLinks>
    <vt:vector size="210" baseType="variant">
      <vt:variant>
        <vt:i4>1179696</vt:i4>
      </vt:variant>
      <vt:variant>
        <vt:i4>173</vt:i4>
      </vt:variant>
      <vt:variant>
        <vt:i4>0</vt:i4>
      </vt:variant>
      <vt:variant>
        <vt:i4>5</vt:i4>
      </vt:variant>
      <vt:variant>
        <vt:lpwstr/>
      </vt:variant>
      <vt:variant>
        <vt:lpwstr>_Toc237232666</vt:lpwstr>
      </vt:variant>
      <vt:variant>
        <vt:i4>1900592</vt:i4>
      </vt:variant>
      <vt:variant>
        <vt:i4>164</vt:i4>
      </vt:variant>
      <vt:variant>
        <vt:i4>0</vt:i4>
      </vt:variant>
      <vt:variant>
        <vt:i4>5</vt:i4>
      </vt:variant>
      <vt:variant>
        <vt:lpwstr/>
      </vt:variant>
      <vt:variant>
        <vt:lpwstr>_Toc237232694</vt:lpwstr>
      </vt:variant>
      <vt:variant>
        <vt:i4>1900592</vt:i4>
      </vt:variant>
      <vt:variant>
        <vt:i4>158</vt:i4>
      </vt:variant>
      <vt:variant>
        <vt:i4>0</vt:i4>
      </vt:variant>
      <vt:variant>
        <vt:i4>5</vt:i4>
      </vt:variant>
      <vt:variant>
        <vt:lpwstr/>
      </vt:variant>
      <vt:variant>
        <vt:lpwstr>_Toc237232693</vt:lpwstr>
      </vt:variant>
      <vt:variant>
        <vt:i4>1900592</vt:i4>
      </vt:variant>
      <vt:variant>
        <vt:i4>152</vt:i4>
      </vt:variant>
      <vt:variant>
        <vt:i4>0</vt:i4>
      </vt:variant>
      <vt:variant>
        <vt:i4>5</vt:i4>
      </vt:variant>
      <vt:variant>
        <vt:lpwstr/>
      </vt:variant>
      <vt:variant>
        <vt:lpwstr>_Toc237232692</vt:lpwstr>
      </vt:variant>
      <vt:variant>
        <vt:i4>1900592</vt:i4>
      </vt:variant>
      <vt:variant>
        <vt:i4>146</vt:i4>
      </vt:variant>
      <vt:variant>
        <vt:i4>0</vt:i4>
      </vt:variant>
      <vt:variant>
        <vt:i4>5</vt:i4>
      </vt:variant>
      <vt:variant>
        <vt:lpwstr/>
      </vt:variant>
      <vt:variant>
        <vt:lpwstr>_Toc237232691</vt:lpwstr>
      </vt:variant>
      <vt:variant>
        <vt:i4>1900592</vt:i4>
      </vt:variant>
      <vt:variant>
        <vt:i4>140</vt:i4>
      </vt:variant>
      <vt:variant>
        <vt:i4>0</vt:i4>
      </vt:variant>
      <vt:variant>
        <vt:i4>5</vt:i4>
      </vt:variant>
      <vt:variant>
        <vt:lpwstr/>
      </vt:variant>
      <vt:variant>
        <vt:lpwstr>_Toc237232690</vt:lpwstr>
      </vt:variant>
      <vt:variant>
        <vt:i4>1835056</vt:i4>
      </vt:variant>
      <vt:variant>
        <vt:i4>134</vt:i4>
      </vt:variant>
      <vt:variant>
        <vt:i4>0</vt:i4>
      </vt:variant>
      <vt:variant>
        <vt:i4>5</vt:i4>
      </vt:variant>
      <vt:variant>
        <vt:lpwstr/>
      </vt:variant>
      <vt:variant>
        <vt:lpwstr>_Toc237232689</vt:lpwstr>
      </vt:variant>
      <vt:variant>
        <vt:i4>1835056</vt:i4>
      </vt:variant>
      <vt:variant>
        <vt:i4>128</vt:i4>
      </vt:variant>
      <vt:variant>
        <vt:i4>0</vt:i4>
      </vt:variant>
      <vt:variant>
        <vt:i4>5</vt:i4>
      </vt:variant>
      <vt:variant>
        <vt:lpwstr/>
      </vt:variant>
      <vt:variant>
        <vt:lpwstr>_Toc237232688</vt:lpwstr>
      </vt:variant>
      <vt:variant>
        <vt:i4>1835056</vt:i4>
      </vt:variant>
      <vt:variant>
        <vt:i4>122</vt:i4>
      </vt:variant>
      <vt:variant>
        <vt:i4>0</vt:i4>
      </vt:variant>
      <vt:variant>
        <vt:i4>5</vt:i4>
      </vt:variant>
      <vt:variant>
        <vt:lpwstr/>
      </vt:variant>
      <vt:variant>
        <vt:lpwstr>_Toc237232687</vt:lpwstr>
      </vt:variant>
      <vt:variant>
        <vt:i4>1835056</vt:i4>
      </vt:variant>
      <vt:variant>
        <vt:i4>116</vt:i4>
      </vt:variant>
      <vt:variant>
        <vt:i4>0</vt:i4>
      </vt:variant>
      <vt:variant>
        <vt:i4>5</vt:i4>
      </vt:variant>
      <vt:variant>
        <vt:lpwstr/>
      </vt:variant>
      <vt:variant>
        <vt:lpwstr>_Toc237232686</vt:lpwstr>
      </vt:variant>
      <vt:variant>
        <vt:i4>1835056</vt:i4>
      </vt:variant>
      <vt:variant>
        <vt:i4>110</vt:i4>
      </vt:variant>
      <vt:variant>
        <vt:i4>0</vt:i4>
      </vt:variant>
      <vt:variant>
        <vt:i4>5</vt:i4>
      </vt:variant>
      <vt:variant>
        <vt:lpwstr/>
      </vt:variant>
      <vt:variant>
        <vt:lpwstr>_Toc237232685</vt:lpwstr>
      </vt:variant>
      <vt:variant>
        <vt:i4>1835056</vt:i4>
      </vt:variant>
      <vt:variant>
        <vt:i4>104</vt:i4>
      </vt:variant>
      <vt:variant>
        <vt:i4>0</vt:i4>
      </vt:variant>
      <vt:variant>
        <vt:i4>5</vt:i4>
      </vt:variant>
      <vt:variant>
        <vt:lpwstr/>
      </vt:variant>
      <vt:variant>
        <vt:lpwstr>_Toc237232684</vt:lpwstr>
      </vt:variant>
      <vt:variant>
        <vt:i4>1835056</vt:i4>
      </vt:variant>
      <vt:variant>
        <vt:i4>98</vt:i4>
      </vt:variant>
      <vt:variant>
        <vt:i4>0</vt:i4>
      </vt:variant>
      <vt:variant>
        <vt:i4>5</vt:i4>
      </vt:variant>
      <vt:variant>
        <vt:lpwstr/>
      </vt:variant>
      <vt:variant>
        <vt:lpwstr>_Toc237232683</vt:lpwstr>
      </vt:variant>
      <vt:variant>
        <vt:i4>1835056</vt:i4>
      </vt:variant>
      <vt:variant>
        <vt:i4>92</vt:i4>
      </vt:variant>
      <vt:variant>
        <vt:i4>0</vt:i4>
      </vt:variant>
      <vt:variant>
        <vt:i4>5</vt:i4>
      </vt:variant>
      <vt:variant>
        <vt:lpwstr/>
      </vt:variant>
      <vt:variant>
        <vt:lpwstr>_Toc237232682</vt:lpwstr>
      </vt:variant>
      <vt:variant>
        <vt:i4>1835056</vt:i4>
      </vt:variant>
      <vt:variant>
        <vt:i4>86</vt:i4>
      </vt:variant>
      <vt:variant>
        <vt:i4>0</vt:i4>
      </vt:variant>
      <vt:variant>
        <vt:i4>5</vt:i4>
      </vt:variant>
      <vt:variant>
        <vt:lpwstr/>
      </vt:variant>
      <vt:variant>
        <vt:lpwstr>_Toc237232681</vt:lpwstr>
      </vt:variant>
      <vt:variant>
        <vt:i4>1835056</vt:i4>
      </vt:variant>
      <vt:variant>
        <vt:i4>80</vt:i4>
      </vt:variant>
      <vt:variant>
        <vt:i4>0</vt:i4>
      </vt:variant>
      <vt:variant>
        <vt:i4>5</vt:i4>
      </vt:variant>
      <vt:variant>
        <vt:lpwstr/>
      </vt:variant>
      <vt:variant>
        <vt:lpwstr>_Toc237232680</vt:lpwstr>
      </vt:variant>
      <vt:variant>
        <vt:i4>1245232</vt:i4>
      </vt:variant>
      <vt:variant>
        <vt:i4>74</vt:i4>
      </vt:variant>
      <vt:variant>
        <vt:i4>0</vt:i4>
      </vt:variant>
      <vt:variant>
        <vt:i4>5</vt:i4>
      </vt:variant>
      <vt:variant>
        <vt:lpwstr/>
      </vt:variant>
      <vt:variant>
        <vt:lpwstr>_Toc237232679</vt:lpwstr>
      </vt:variant>
      <vt:variant>
        <vt:i4>1245232</vt:i4>
      </vt:variant>
      <vt:variant>
        <vt:i4>68</vt:i4>
      </vt:variant>
      <vt:variant>
        <vt:i4>0</vt:i4>
      </vt:variant>
      <vt:variant>
        <vt:i4>5</vt:i4>
      </vt:variant>
      <vt:variant>
        <vt:lpwstr/>
      </vt:variant>
      <vt:variant>
        <vt:lpwstr>_Toc237232678</vt:lpwstr>
      </vt:variant>
      <vt:variant>
        <vt:i4>1245232</vt:i4>
      </vt:variant>
      <vt:variant>
        <vt:i4>62</vt:i4>
      </vt:variant>
      <vt:variant>
        <vt:i4>0</vt:i4>
      </vt:variant>
      <vt:variant>
        <vt:i4>5</vt:i4>
      </vt:variant>
      <vt:variant>
        <vt:lpwstr/>
      </vt:variant>
      <vt:variant>
        <vt:lpwstr>_Toc237232677</vt:lpwstr>
      </vt:variant>
      <vt:variant>
        <vt:i4>1245232</vt:i4>
      </vt:variant>
      <vt:variant>
        <vt:i4>56</vt:i4>
      </vt:variant>
      <vt:variant>
        <vt:i4>0</vt:i4>
      </vt:variant>
      <vt:variant>
        <vt:i4>5</vt:i4>
      </vt:variant>
      <vt:variant>
        <vt:lpwstr/>
      </vt:variant>
      <vt:variant>
        <vt:lpwstr>_Toc237232676</vt:lpwstr>
      </vt:variant>
      <vt:variant>
        <vt:i4>1245232</vt:i4>
      </vt:variant>
      <vt:variant>
        <vt:i4>50</vt:i4>
      </vt:variant>
      <vt:variant>
        <vt:i4>0</vt:i4>
      </vt:variant>
      <vt:variant>
        <vt:i4>5</vt:i4>
      </vt:variant>
      <vt:variant>
        <vt:lpwstr/>
      </vt:variant>
      <vt:variant>
        <vt:lpwstr>_Toc237232675</vt:lpwstr>
      </vt:variant>
      <vt:variant>
        <vt:i4>1245232</vt:i4>
      </vt:variant>
      <vt:variant>
        <vt:i4>44</vt:i4>
      </vt:variant>
      <vt:variant>
        <vt:i4>0</vt:i4>
      </vt:variant>
      <vt:variant>
        <vt:i4>5</vt:i4>
      </vt:variant>
      <vt:variant>
        <vt:lpwstr/>
      </vt:variant>
      <vt:variant>
        <vt:lpwstr>_Toc237232674</vt:lpwstr>
      </vt:variant>
      <vt:variant>
        <vt:i4>1245232</vt:i4>
      </vt:variant>
      <vt:variant>
        <vt:i4>38</vt:i4>
      </vt:variant>
      <vt:variant>
        <vt:i4>0</vt:i4>
      </vt:variant>
      <vt:variant>
        <vt:i4>5</vt:i4>
      </vt:variant>
      <vt:variant>
        <vt:lpwstr/>
      </vt:variant>
      <vt:variant>
        <vt:lpwstr>_Toc237232673</vt:lpwstr>
      </vt:variant>
      <vt:variant>
        <vt:i4>1245232</vt:i4>
      </vt:variant>
      <vt:variant>
        <vt:i4>32</vt:i4>
      </vt:variant>
      <vt:variant>
        <vt:i4>0</vt:i4>
      </vt:variant>
      <vt:variant>
        <vt:i4>5</vt:i4>
      </vt:variant>
      <vt:variant>
        <vt:lpwstr/>
      </vt:variant>
      <vt:variant>
        <vt:lpwstr>_Toc237232672</vt:lpwstr>
      </vt:variant>
      <vt:variant>
        <vt:i4>1245232</vt:i4>
      </vt:variant>
      <vt:variant>
        <vt:i4>26</vt:i4>
      </vt:variant>
      <vt:variant>
        <vt:i4>0</vt:i4>
      </vt:variant>
      <vt:variant>
        <vt:i4>5</vt:i4>
      </vt:variant>
      <vt:variant>
        <vt:lpwstr/>
      </vt:variant>
      <vt:variant>
        <vt:lpwstr>_Toc237232671</vt:lpwstr>
      </vt:variant>
      <vt:variant>
        <vt:i4>1245232</vt:i4>
      </vt:variant>
      <vt:variant>
        <vt:i4>20</vt:i4>
      </vt:variant>
      <vt:variant>
        <vt:i4>0</vt:i4>
      </vt:variant>
      <vt:variant>
        <vt:i4>5</vt:i4>
      </vt:variant>
      <vt:variant>
        <vt:lpwstr/>
      </vt:variant>
      <vt:variant>
        <vt:lpwstr>_Toc237232670</vt:lpwstr>
      </vt:variant>
      <vt:variant>
        <vt:i4>1179696</vt:i4>
      </vt:variant>
      <vt:variant>
        <vt:i4>14</vt:i4>
      </vt:variant>
      <vt:variant>
        <vt:i4>0</vt:i4>
      </vt:variant>
      <vt:variant>
        <vt:i4>5</vt:i4>
      </vt:variant>
      <vt:variant>
        <vt:lpwstr/>
      </vt:variant>
      <vt:variant>
        <vt:lpwstr>_Toc237232669</vt:lpwstr>
      </vt:variant>
      <vt:variant>
        <vt:i4>852020</vt:i4>
      </vt:variant>
      <vt:variant>
        <vt:i4>21</vt:i4>
      </vt:variant>
      <vt:variant>
        <vt:i4>0</vt:i4>
      </vt:variant>
      <vt:variant>
        <vt:i4>5</vt:i4>
      </vt:variant>
      <vt:variant>
        <vt:lpwstr>http://www.deeresources.com/index.php?option=com_content&amp;view=article&amp;id=65&amp;Itemid=57</vt:lpwstr>
      </vt:variant>
      <vt:variant>
        <vt:lpwstr/>
      </vt:variant>
      <vt:variant>
        <vt:i4>8257543</vt:i4>
      </vt:variant>
      <vt:variant>
        <vt:i4>18</vt:i4>
      </vt:variant>
      <vt:variant>
        <vt:i4>0</vt:i4>
      </vt:variant>
      <vt:variant>
        <vt:i4>5</vt:i4>
      </vt:variant>
      <vt:variant>
        <vt:lpwstr>http://www.energy.ca.gov/reports/400-04-009/2004-08-17_400-04-009VOL2B.PDF</vt:lpwstr>
      </vt:variant>
      <vt:variant>
        <vt:lpwstr/>
      </vt:variant>
      <vt:variant>
        <vt:i4>852020</vt:i4>
      </vt:variant>
      <vt:variant>
        <vt:i4>15</vt:i4>
      </vt:variant>
      <vt:variant>
        <vt:i4>0</vt:i4>
      </vt:variant>
      <vt:variant>
        <vt:i4>5</vt:i4>
      </vt:variant>
      <vt:variant>
        <vt:lpwstr>http://www.deeresources.com/index.php?option=com_content&amp;view=article&amp;id=65&amp;Itemid=57</vt:lpwstr>
      </vt:variant>
      <vt:variant>
        <vt:lpwstr/>
      </vt:variant>
      <vt:variant>
        <vt:i4>852020</vt:i4>
      </vt:variant>
      <vt:variant>
        <vt:i4>12</vt:i4>
      </vt:variant>
      <vt:variant>
        <vt:i4>0</vt:i4>
      </vt:variant>
      <vt:variant>
        <vt:i4>5</vt:i4>
      </vt:variant>
      <vt:variant>
        <vt:lpwstr>http://www.deeresources.com/index.php?option=com_content&amp;view=article&amp;id=65&amp;Itemid=57</vt:lpwstr>
      </vt:variant>
      <vt:variant>
        <vt:lpwstr/>
      </vt:variant>
      <vt:variant>
        <vt:i4>1835135</vt:i4>
      </vt:variant>
      <vt:variant>
        <vt:i4>9</vt:i4>
      </vt:variant>
      <vt:variant>
        <vt:i4>0</vt:i4>
      </vt:variant>
      <vt:variant>
        <vt:i4>5</vt:i4>
      </vt:variant>
      <vt:variant>
        <vt:lpwstr>http://www.deeresources.com/deer2005/downloads/DEER2005UpdateFinalReport_ItronVersion.pdf</vt:lpwstr>
      </vt:variant>
      <vt:variant>
        <vt:lpwstr/>
      </vt:variant>
      <vt:variant>
        <vt:i4>852020</vt:i4>
      </vt:variant>
      <vt:variant>
        <vt:i4>6</vt:i4>
      </vt:variant>
      <vt:variant>
        <vt:i4>0</vt:i4>
      </vt:variant>
      <vt:variant>
        <vt:i4>5</vt:i4>
      </vt:variant>
      <vt:variant>
        <vt:lpwstr>http://www.deeresources.com/index.php?option=com_content&amp;view=article&amp;id=65&amp;Itemid=57</vt:lpwstr>
      </vt:variant>
      <vt:variant>
        <vt:lpwstr/>
      </vt:variant>
      <vt:variant>
        <vt:i4>2097256</vt:i4>
      </vt:variant>
      <vt:variant>
        <vt:i4>3</vt:i4>
      </vt:variant>
      <vt:variant>
        <vt:i4>0</vt:i4>
      </vt:variant>
      <vt:variant>
        <vt:i4>5</vt:i4>
      </vt:variant>
      <vt:variant>
        <vt:lpwstr>http://www.deeresources.com/deer0911planning/downloads/DEER2008UPDATE-EnergyAnalysisMethodsChangeSummaryV7.pdf</vt:lpwstr>
      </vt:variant>
      <vt:variant>
        <vt:lpwstr/>
      </vt:variant>
      <vt:variant>
        <vt:i4>4653176</vt:i4>
      </vt:variant>
      <vt:variant>
        <vt:i4>0</vt:i4>
      </vt:variant>
      <vt:variant>
        <vt:i4>0</vt:i4>
      </vt:variant>
      <vt:variant>
        <vt:i4>5</vt:i4>
      </vt:variant>
      <vt:variant>
        <vt:lpwstr>http://www.calmac.org/warn_dload.asp?e=0&amp;id=2071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16</cp:revision>
  <cp:lastPrinted>2014-05-19T15:28:00Z</cp:lastPrinted>
  <dcterms:created xsi:type="dcterms:W3CDTF">2014-05-21T16:52:00Z</dcterms:created>
  <dcterms:modified xsi:type="dcterms:W3CDTF">2015-12-02T20:27:00Z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1740900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